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11.020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lang w:eastAsia="zh-CN"/>
              </w:rPr>
              <w:t>C</w:t>
            </w:r>
            <w:r>
              <w:rPr>
                <w:rFonts w:hint="eastAsia" w:ascii="黑体" w:hAnsi="黑体" w:eastAsia="黑体"/>
                <w:sz w:val="21"/>
                <w:szCs w:val="21"/>
                <w:lang w:val="en-US" w:eastAsia="zh-CN"/>
              </w:rPr>
              <w:t>50</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rPr>
                <w:rFonts w:hint="eastAsia"/>
              </w:rPr>
              <w:t>32</w:t>
            </w:r>
            <w:r>
              <w:fldChar w:fldCharType="end"/>
            </w:r>
            <w:bookmarkEnd w:id="1"/>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2"/>
      <w:r>
        <w:rPr>
          <w:rFonts w:hint="eastAsia" w:ascii="黑体" w:hAnsi="黑体" w:eastAsia="黑体"/>
          <w:b w:val="0"/>
          <w:bCs w:val="0"/>
          <w:w w:val="100"/>
          <w:sz w:val="48"/>
          <w:szCs w:val="48"/>
        </w:rPr>
        <w:t>地方标准</w:t>
      </w:r>
    </w:p>
    <w:bookmarkEnd w:id="0"/>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lang w:val="fr-FR"/>
        </w:rPr>
        <w:t>XX/T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pPr>
        <w:pStyle w:val="196"/>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癌症患者康复指导与随访服务技术规范</w:t>
      </w:r>
    </w:p>
    <w:p>
      <w:pPr>
        <w:pStyle w:val="197"/>
        <w:framePr w:h="6974" w:hRule="exact" w:wrap="around" w:x="1419" w:anchorLock="1"/>
      </w:pPr>
      <w:r>
        <w:rPr>
          <w:rFonts w:hint="eastAsia"/>
        </w:rPr>
        <w:t>第2部分：乳腺癌</w:t>
      </w:r>
      <w:r>
        <w:fldChar w:fldCharType="end"/>
      </w:r>
      <w:bookmarkEnd w:id="7"/>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eastAsia="黑体"/>
          <w:szCs w:val="28"/>
        </w:rPr>
        <w:t>Technical specifications for cancer patients rehabilitation guidance and follow-up services</w:t>
      </w:r>
    </w:p>
    <w:p>
      <w:pPr>
        <w:pStyle w:val="125"/>
        <w:framePr w:w="9639" w:h="6974" w:hRule="exact" w:wrap="around" w:vAnchor="page" w:hAnchor="page" w:x="1419" w:y="6408" w:anchorLock="1"/>
        <w:textAlignment w:val="bottom"/>
        <w:rPr>
          <w:rFonts w:eastAsia="黑体"/>
          <w:szCs w:val="28"/>
        </w:rPr>
      </w:pPr>
      <w:r>
        <w:rPr>
          <w:rFonts w:eastAsia="黑体"/>
          <w:szCs w:val="28"/>
        </w:rPr>
        <w:t>Part 2: Breast cancer</w:t>
      </w:r>
      <w:r>
        <w:rPr>
          <w:rFonts w:eastAsia="黑体"/>
          <w:szCs w:val="28"/>
        </w:rPr>
        <w:fldChar w:fldCharType="end"/>
      </w:r>
      <w:bookmarkEnd w:id="8"/>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rFonts w:hint="eastAsia"/>
          <w:sz w:val="21"/>
          <w:szCs w:val="28"/>
        </w:rPr>
        <w:t>（本草案完成时间：2024-06-24）</w:t>
      </w:r>
      <w:r>
        <w:rPr>
          <w:sz w:val="21"/>
          <w:szCs w:val="28"/>
        </w:rPr>
        <w:fldChar w:fldCharType="end"/>
      </w:r>
      <w:bookmarkEnd w:id="10"/>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w:t>
      </w:r>
      <w:r>
        <w:rPr>
          <w:rFonts w:hAnsi="黑体"/>
          <w:w w:val="100"/>
          <w:sz w:val="28"/>
        </w:rPr>
        <w:t>市场监督管理局</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bookmarkStart w:id="88" w:name="_GoBack"/>
      <w:bookmarkEnd w:id="88"/>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19" w:name="BookMark1"/>
      <w:bookmarkStart w:id="20" w:name="_Toc170201856"/>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"_Toc170288772" </w:instrText>
      </w:r>
      <w:r>
        <w:fldChar w:fldCharType="separate"/>
      </w:r>
      <w:r>
        <w:rPr>
          <w:rStyle w:val="32"/>
        </w:rPr>
        <w:t>前言</w:t>
      </w:r>
      <w:r>
        <w:tab/>
      </w:r>
      <w:r>
        <w:fldChar w:fldCharType="begin"/>
      </w:r>
      <w:r>
        <w:instrText xml:space="preserve"> PAGEREF _Toc170288772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"_Toc170288773" </w:instrText>
      </w:r>
      <w:r>
        <w:fldChar w:fldCharType="separate"/>
      </w:r>
      <w:r>
        <w:rPr>
          <w:rStyle w:val="32"/>
        </w:rPr>
        <w:t>1  范围</w:t>
      </w:r>
      <w:r>
        <w:tab/>
      </w:r>
      <w:r>
        <w:fldChar w:fldCharType="begin"/>
      </w:r>
      <w:r>
        <w:instrText xml:space="preserve"> PAGEREF _Toc170288773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"_Toc170288774" </w:instrText>
      </w:r>
      <w:r>
        <w:fldChar w:fldCharType="separate"/>
      </w:r>
      <w:r>
        <w:rPr>
          <w:rStyle w:val="32"/>
        </w:rPr>
        <w:t>2  规范性引用文件</w:t>
      </w:r>
      <w:r>
        <w:tab/>
      </w:r>
      <w:r>
        <w:fldChar w:fldCharType="begin"/>
      </w:r>
      <w:r>
        <w:instrText xml:space="preserve"> PAGEREF _Toc170288774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"_Toc170288775" </w:instrText>
      </w:r>
      <w:r>
        <w:fldChar w:fldCharType="separate"/>
      </w:r>
      <w:r>
        <w:rPr>
          <w:rStyle w:val="32"/>
        </w:rPr>
        <w:t>3  术语和定义</w:t>
      </w:r>
      <w:r>
        <w:tab/>
      </w:r>
      <w:r>
        <w:fldChar w:fldCharType="begin"/>
      </w:r>
      <w:r>
        <w:instrText xml:space="preserve"> PAGEREF _Toc170288775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"_Toc170288776" </w:instrText>
      </w:r>
      <w:r>
        <w:fldChar w:fldCharType="separate"/>
      </w:r>
      <w:r>
        <w:rPr>
          <w:rStyle w:val="32"/>
        </w:rPr>
        <w:t>4  人员要求</w:t>
      </w:r>
      <w:r>
        <w:tab/>
      </w:r>
      <w:r>
        <w:fldChar w:fldCharType="begin"/>
      </w:r>
      <w:r>
        <w:instrText xml:space="preserve"> PAGEREF _Toc170288776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"_Toc170288777" </w:instrText>
      </w:r>
      <w:r>
        <w:fldChar w:fldCharType="separate"/>
      </w:r>
      <w:r>
        <w:rPr>
          <w:rStyle w:val="32"/>
        </w:rPr>
        <w:t>5  随访要素</w:t>
      </w:r>
      <w:r>
        <w:tab/>
      </w:r>
      <w:r>
        <w:fldChar w:fldCharType="begin"/>
      </w:r>
      <w:r>
        <w:instrText xml:space="preserve"> PAGEREF _Toc170288777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"_Toc170288778" </w:instrText>
      </w:r>
      <w:r>
        <w:fldChar w:fldCharType="separate"/>
      </w:r>
      <w:r>
        <w:rPr>
          <w:rStyle w:val="32"/>
        </w:rPr>
        <w:t>6  随访准备</w:t>
      </w:r>
      <w:r>
        <w:tab/>
      </w:r>
      <w:r>
        <w:fldChar w:fldCharType="begin"/>
      </w:r>
      <w:r>
        <w:instrText xml:space="preserve"> PAGEREF _Toc170288778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"_Toc170288779" </w:instrText>
      </w:r>
      <w:r>
        <w:fldChar w:fldCharType="separate"/>
      </w:r>
      <w:r>
        <w:rPr>
          <w:rStyle w:val="32"/>
        </w:rPr>
        <w:t xml:space="preserve">7 </w:t>
      </w:r>
      <w:r>
        <w:rPr>
          <w:rStyle w:val="32"/>
          <w:rFonts w:ascii="Times New Roman"/>
        </w:rPr>
        <w:t xml:space="preserve"> 随访实施</w:t>
      </w:r>
      <w:r>
        <w:tab/>
      </w:r>
      <w:r>
        <w:fldChar w:fldCharType="begin"/>
      </w:r>
      <w:r>
        <w:instrText xml:space="preserve"> PAGEREF _Toc170288779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"_Toc170288780" </w:instrText>
      </w:r>
      <w:r>
        <w:fldChar w:fldCharType="separate"/>
      </w:r>
      <w:r>
        <w:rPr>
          <w:rStyle w:val="32"/>
        </w:rPr>
        <w:t>8  随访质量控制</w:t>
      </w:r>
      <w:r>
        <w:tab/>
      </w:r>
      <w:r>
        <w:fldChar w:fldCharType="begin"/>
      </w:r>
      <w:r>
        <w:instrText xml:space="preserve"> PAGEREF _Toc170288780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"_Toc170288781" </w:instrText>
      </w:r>
      <w:r>
        <w:fldChar w:fldCharType="separate"/>
      </w:r>
      <w:r>
        <w:rPr>
          <w:rStyle w:val="32"/>
        </w:rPr>
        <w:t>9  乳腺癌康复指导</w:t>
      </w:r>
      <w:r>
        <w:tab/>
      </w:r>
      <w:r>
        <w:fldChar w:fldCharType="begin"/>
      </w:r>
      <w:r>
        <w:instrText xml:space="preserve"> PAGEREF _Toc170288781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"_Toc170288782" </w:instrText>
      </w:r>
      <w:r>
        <w:fldChar w:fldCharType="separate"/>
      </w:r>
      <w:r>
        <w:rPr>
          <w:rStyle w:val="32"/>
        </w:rPr>
        <w:t>附录A（规范性）  乳腺癌患者随访流程</w:t>
      </w:r>
      <w:r>
        <w:tab/>
      </w:r>
      <w:r>
        <w:fldChar w:fldCharType="begin"/>
      </w:r>
      <w:r>
        <w:instrText xml:space="preserve"> PAGEREF _Toc170288782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"_Toc170288783" </w:instrText>
      </w:r>
      <w:r>
        <w:fldChar w:fldCharType="separate"/>
      </w:r>
      <w:r>
        <w:rPr>
          <w:rStyle w:val="32"/>
        </w:rPr>
        <w:t>附录B（规范性）  乳腺癌患者随访登记表</w:t>
      </w:r>
      <w:r>
        <w:tab/>
      </w:r>
      <w:r>
        <w:fldChar w:fldCharType="begin"/>
      </w:r>
      <w:r>
        <w:instrText xml:space="preserve"> PAGEREF _Toc170288783 \h </w:instrText>
      </w:r>
      <w:r>
        <w:fldChar w:fldCharType="separate"/>
      </w:r>
      <w:r>
        <w:t>8</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"_Toc170288784" </w:instrText>
      </w:r>
      <w:r>
        <w:fldChar w:fldCharType="separate"/>
      </w:r>
      <w:r>
        <w:rPr>
          <w:rStyle w:val="32"/>
        </w:rPr>
        <w:t>附录C（规范性）  乳腺癌患者随访项目与随访频次</w:t>
      </w:r>
      <w:r>
        <w:tab/>
      </w:r>
      <w:r>
        <w:fldChar w:fldCharType="begin"/>
      </w:r>
      <w:r>
        <w:instrText xml:space="preserve"> PAGEREF _Toc170288784 \h </w:instrText>
      </w:r>
      <w:r>
        <w:fldChar w:fldCharType="separate"/>
      </w:r>
      <w:r>
        <w:t>9</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"_Toc170288785" </w:instrText>
      </w:r>
      <w:r>
        <w:fldChar w:fldCharType="separate"/>
      </w:r>
      <w:r>
        <w:rPr>
          <w:rStyle w:val="32"/>
        </w:rPr>
        <w:t xml:space="preserve">附录D（资料性）  </w:t>
      </w:r>
      <w:r>
        <w:rPr>
          <w:rStyle w:val="32"/>
          <w:rFonts w:ascii="Times New Roman"/>
        </w:rPr>
        <w:t>9条目病人健康问卷</w:t>
      </w:r>
      <w:r>
        <w:tab/>
      </w:r>
      <w:r>
        <w:fldChar w:fldCharType="begin"/>
      </w:r>
      <w:r>
        <w:instrText xml:space="preserve"> PAGEREF _Toc170288785 \h </w:instrText>
      </w:r>
      <w:r>
        <w:fldChar w:fldCharType="separate"/>
      </w:r>
      <w:r>
        <w:t>11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"_Toc170288786" </w:instrText>
      </w:r>
      <w:r>
        <w:fldChar w:fldCharType="separate"/>
      </w:r>
      <w:r>
        <w:rPr>
          <w:rStyle w:val="32"/>
        </w:rPr>
        <w:t>附录E（资料性）  广泛性焦虑自评量表评分</w:t>
      </w:r>
      <w:r>
        <w:tab/>
      </w:r>
      <w:r>
        <w:fldChar w:fldCharType="begin"/>
      </w:r>
      <w:r>
        <w:instrText xml:space="preserve"> PAGEREF _Toc170288786 \h </w:instrText>
      </w:r>
      <w:r>
        <w:fldChar w:fldCharType="separate"/>
      </w:r>
      <w:r>
        <w:t>12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"_Toc170288787" </w:instrText>
      </w:r>
      <w:r>
        <w:fldChar w:fldCharType="separate"/>
      </w:r>
      <w:r>
        <w:rPr>
          <w:rStyle w:val="32"/>
        </w:rPr>
        <w:t>附录F（资料性）  乳腺癌患者伴随疾病及症状</w:t>
      </w:r>
      <w:r>
        <w:tab/>
      </w:r>
      <w:r>
        <w:fldChar w:fldCharType="begin"/>
      </w:r>
      <w:r>
        <w:instrText xml:space="preserve"> PAGEREF _Toc170288787 \h </w:instrText>
      </w:r>
      <w:r>
        <w:fldChar w:fldCharType="separate"/>
      </w:r>
      <w:r>
        <w:t>13</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"_Toc170288788" </w:instrText>
      </w:r>
      <w:r>
        <w:fldChar w:fldCharType="separate"/>
      </w:r>
      <w:r>
        <w:rPr>
          <w:rStyle w:val="32"/>
        </w:rPr>
        <w:t>附录G（规范性）  乳腺癌患者各阶段康复指导内容</w:t>
      </w:r>
      <w:r>
        <w:tab/>
      </w:r>
      <w:r>
        <w:fldChar w:fldCharType="begin"/>
      </w:r>
      <w:r>
        <w:instrText xml:space="preserve"> PAGEREF _Toc170288788 \h </w:instrText>
      </w:r>
      <w:r>
        <w:fldChar w:fldCharType="separate"/>
      </w:r>
      <w:r>
        <w:t>15</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"_Toc170288789" </w:instrText>
      </w:r>
      <w:r>
        <w:fldChar w:fldCharType="separate"/>
      </w:r>
      <w:r>
        <w:rPr>
          <w:rStyle w:val="32"/>
        </w:rPr>
        <w:t>参考文献</w:t>
      </w:r>
      <w:r>
        <w:tab/>
      </w:r>
      <w:r>
        <w:fldChar w:fldCharType="begin"/>
      </w:r>
      <w:r>
        <w:instrText xml:space="preserve"> PAGEREF _Toc170288789 \h </w:instrText>
      </w:r>
      <w:r>
        <w:fldChar w:fldCharType="separate"/>
      </w:r>
      <w:r>
        <w:t>1</w:t>
      </w:r>
      <w:r>
        <w:rPr>
          <w:rFonts w:hint="eastAsia"/>
        </w:rPr>
        <w:t>7</w:t>
      </w:r>
      <w:r>
        <w:fldChar w:fldCharType="end"/>
      </w:r>
      <w:r>
        <w:fldChar w:fldCharType="end"/>
      </w:r>
    </w:p>
    <w:p>
      <w:pPr>
        <w:pStyle w:val="91"/>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19"/>
    <w:p>
      <w:pPr>
        <w:pStyle w:val="89"/>
        <w:spacing w:after="468"/>
      </w:pPr>
      <w:bookmarkStart w:id="21" w:name="_Toc170288772"/>
      <w:bookmarkStart w:id="22" w:name="BookMark2"/>
      <w:r>
        <w:rPr>
          <w:spacing w:val="320"/>
        </w:rPr>
        <w:t>前</w:t>
      </w:r>
      <w:r>
        <w:t>言</w:t>
      </w:r>
      <w:bookmarkEnd w:id="20"/>
      <w:bookmarkEnd w:id="21"/>
    </w:p>
    <w:p>
      <w:pPr>
        <w:pStyle w:val="56"/>
        <w:ind w:firstLine="420"/>
      </w:pPr>
      <w:r>
        <w:rPr>
          <w:rFonts w:hint="eastAsia"/>
        </w:rPr>
        <w:t>本文件按照GB/T 1.1—2020《标准化工作导则  第1部分：标准化文件的结构和起草规则》的规定起草。</w:t>
      </w:r>
    </w:p>
    <w:p>
      <w:pPr>
        <w:pStyle w:val="56"/>
        <w:ind w:firstLine="420"/>
      </w:pPr>
      <w:r>
        <w:rPr>
          <w:rFonts w:ascii="Times New Roman"/>
          <w:szCs w:val="21"/>
          <w:lang w:val="zh-CN"/>
        </w:rPr>
        <w:t>请注意本文件的某些内容可能涉及专利。本文件的发布机构不承担识别专利的责任。</w:t>
      </w:r>
    </w:p>
    <w:p>
      <w:pPr>
        <w:pStyle w:val="56"/>
        <w:ind w:firstLine="420"/>
      </w:pPr>
      <w:r>
        <w:rPr>
          <w:rFonts w:hint="eastAsia"/>
        </w:rPr>
        <w:t>本文件由</w:t>
      </w:r>
      <w:r>
        <w:rPr>
          <w:rFonts w:hint="eastAsia" w:hAnsi="宋体" w:cs="宋体"/>
          <w:szCs w:val="21"/>
        </w:rPr>
        <w:t>江苏省卫生健康委员会</w:t>
      </w:r>
      <w:r>
        <w:rPr>
          <w:rFonts w:hint="eastAsia"/>
        </w:rPr>
        <w:t>提出并组织实施。</w:t>
      </w:r>
    </w:p>
    <w:p>
      <w:pPr>
        <w:pStyle w:val="56"/>
        <w:ind w:firstLine="420"/>
      </w:pPr>
      <w:r>
        <w:rPr>
          <w:rFonts w:hint="eastAsia"/>
        </w:rPr>
        <w:t>本文件由</w:t>
      </w:r>
      <w:r>
        <w:rPr>
          <w:rFonts w:ascii="Times New Roman"/>
          <w:szCs w:val="21"/>
        </w:rPr>
        <w:t>江苏省卫生</w:t>
      </w:r>
      <w:r>
        <w:rPr>
          <w:rFonts w:hint="eastAsia" w:ascii="Times New Roman"/>
          <w:szCs w:val="21"/>
        </w:rPr>
        <w:t>健康</w:t>
      </w:r>
      <w:r>
        <w:rPr>
          <w:rFonts w:ascii="Times New Roman"/>
          <w:szCs w:val="21"/>
        </w:rPr>
        <w:t>标准化技术委员会</w:t>
      </w:r>
      <w:r>
        <w:rPr>
          <w:rFonts w:hint="eastAsia"/>
        </w:rPr>
        <w:t>归口。</w:t>
      </w:r>
    </w:p>
    <w:p>
      <w:pPr>
        <w:pStyle w:val="56"/>
        <w:ind w:firstLine="420"/>
      </w:pPr>
      <w:r>
        <w:rPr>
          <w:rFonts w:hint="eastAsia"/>
        </w:rPr>
        <w:t>本文件起草单位：</w:t>
      </w:r>
      <w:r>
        <w:rPr>
          <w:rFonts w:ascii="Times New Roman"/>
          <w:szCs w:val="21"/>
        </w:rPr>
        <w:t>江苏省肿瘤医院、南京医科大学、东部战区总医院、江苏省人民医院、徐州市肿瘤医院、苏州市立医院、南通市肿瘤医院、泰州市人民医院</w:t>
      </w:r>
      <w:r>
        <w:rPr>
          <w:rFonts w:hint="eastAsia" w:ascii="Times New Roman"/>
          <w:szCs w:val="21"/>
        </w:rPr>
        <w:t>。</w:t>
      </w:r>
    </w:p>
    <w:p>
      <w:pPr>
        <w:pStyle w:val="56"/>
        <w:ind w:firstLine="420"/>
      </w:pPr>
      <w:r>
        <w:rPr>
          <w:rFonts w:hint="eastAsia"/>
        </w:rPr>
        <w:t>本文件主要起草人：</w:t>
      </w:r>
      <w:r>
        <w:rPr>
          <w:rFonts w:ascii="Times New Roman"/>
          <w:szCs w:val="21"/>
        </w:rPr>
        <w:t>张柳柳、许勤、朱姝芹、邾萍、章毛毛、王芳、言克莉、郭春玲、杨雪芳、许容芳、冯国琴</w:t>
      </w:r>
      <w:r>
        <w:rPr>
          <w:rFonts w:hint="eastAsia" w:ascii="Times New Roman"/>
          <w:szCs w:val="21"/>
        </w:rPr>
        <w:t>、师凌云。</w:t>
      </w:r>
    </w:p>
    <w:p>
      <w:pPr>
        <w:pStyle w:val="56"/>
        <w:ind w:firstLine="420"/>
      </w:pPr>
    </w:p>
    <w:p>
      <w:pPr>
        <w:pStyle w:val="56"/>
        <w:ind w:firstLine="420"/>
        <w:sectPr>
          <w:pgSz w:w="11906" w:h="16838"/>
          <w:pgMar w:top="2410" w:right="1134" w:bottom="1134" w:left="1134" w:header="1418" w:footer="1134" w:gutter="284"/>
          <w:pgNumType w:fmt="upperRoman"/>
          <w:cols w:space="425" w:num="1"/>
          <w:formProt w:val="0"/>
          <w:docGrid w:type="lines" w:linePitch="312" w:charSpace="0"/>
        </w:sectPr>
      </w:pPr>
    </w:p>
    <w:bookmarkEnd w:id="22"/>
    <w:p>
      <w:pPr>
        <w:spacing w:line="20" w:lineRule="exact"/>
        <w:jc w:val="center"/>
        <w:rPr>
          <w:rFonts w:ascii="黑体" w:hAnsi="黑体" w:eastAsia="黑体"/>
          <w:sz w:val="32"/>
          <w:szCs w:val="32"/>
        </w:rPr>
      </w:pPr>
      <w:bookmarkStart w:id="23" w:name="BookMark4"/>
    </w:p>
    <w:p>
      <w:pPr>
        <w:spacing w:line="20" w:lineRule="exact"/>
        <w:jc w:val="center"/>
        <w:rPr>
          <w:rFonts w:ascii="黑体" w:hAnsi="黑体" w:eastAsia="黑体"/>
          <w:sz w:val="32"/>
          <w:szCs w:val="32"/>
        </w:rPr>
      </w:pPr>
    </w:p>
    <w:sdt>
      <w:sdtPr>
        <w:tag w:val="NEW_STAND_NAME"/>
        <w:id w:val="595910757"/>
        <w:lock w:val="sdtLocked"/>
        <w:placeholder>
          <w:docPart w:val="293B7F438FF4480DA626914FF467FA41"/>
        </w:placeholder>
      </w:sdtPr>
      <w:sdtContent>
        <w:p>
          <w:pPr>
            <w:pStyle w:val="177"/>
            <w:spacing w:before="312" w:beforeLines="100" w:after="3" w:afterLines="1"/>
          </w:pPr>
          <w:bookmarkStart w:id="24" w:name="NEW_STAND_NAME"/>
          <w:r>
            <w:rPr>
              <w:rFonts w:hint="eastAsia"/>
            </w:rPr>
            <w:t>癌症患者康复指导与随访服务技术规范</w:t>
          </w:r>
        </w:p>
        <w:p>
          <w:pPr>
            <w:pStyle w:val="177"/>
            <w:spacing w:before="3" w:beforeLines="1" w:after="680"/>
          </w:pPr>
          <w:r>
            <w:rPr>
              <w:rFonts w:hint="eastAsia"/>
            </w:rPr>
            <w:t>第</w:t>
          </w:r>
          <w:r>
            <w:t>2部分：乳腺癌</w:t>
          </w:r>
        </w:p>
      </w:sdtContent>
    </w:sdt>
    <w:bookmarkEnd w:id="24"/>
    <w:p>
      <w:pPr>
        <w:pStyle w:val="104"/>
        <w:spacing w:before="312" w:after="312"/>
      </w:pPr>
      <w:bookmarkStart w:id="25" w:name="_Toc26648465"/>
      <w:bookmarkStart w:id="26" w:name="_Toc26718930"/>
      <w:bookmarkStart w:id="27" w:name="_Toc26986530"/>
      <w:bookmarkStart w:id="28" w:name="_Toc26986771"/>
      <w:bookmarkStart w:id="29" w:name="_Toc24884218"/>
      <w:bookmarkStart w:id="30" w:name="_Toc170288773"/>
      <w:bookmarkStart w:id="31" w:name="_Toc17233325"/>
      <w:bookmarkStart w:id="32" w:name="_Toc24884211"/>
      <w:bookmarkStart w:id="33" w:name="_Toc17233333"/>
      <w:bookmarkStart w:id="34" w:name="_Toc170201857"/>
      <w:r>
        <w:rPr>
          <w:rFonts w:hint="eastAsia"/>
        </w:rPr>
        <w:t>范围</w:t>
      </w:r>
      <w:bookmarkEnd w:id="25"/>
      <w:bookmarkEnd w:id="26"/>
      <w:bookmarkEnd w:id="27"/>
      <w:bookmarkEnd w:id="28"/>
      <w:bookmarkEnd w:id="29"/>
      <w:bookmarkEnd w:id="30"/>
      <w:bookmarkEnd w:id="31"/>
      <w:bookmarkEnd w:id="32"/>
      <w:bookmarkEnd w:id="33"/>
      <w:bookmarkEnd w:id="34"/>
    </w:p>
    <w:p>
      <w:pPr>
        <w:pStyle w:val="56"/>
        <w:ind w:firstLine="420"/>
        <w:rPr>
          <w:rFonts w:ascii="Times New Roman"/>
          <w:szCs w:val="21"/>
        </w:rPr>
      </w:pPr>
      <w:bookmarkStart w:id="35" w:name="_Toc17233334"/>
      <w:bookmarkStart w:id="36" w:name="_Toc24884212"/>
      <w:bookmarkStart w:id="37" w:name="_Toc17233326"/>
      <w:bookmarkStart w:id="38" w:name="_Toc24884219"/>
      <w:bookmarkStart w:id="39" w:name="_Toc26648466"/>
      <w:r>
        <w:rPr>
          <w:rFonts w:ascii="Times New Roman"/>
          <w:szCs w:val="21"/>
        </w:rPr>
        <w:t>本文件规定了乳腺癌患者</w:t>
      </w:r>
      <w:r>
        <w:rPr>
          <w:rFonts w:hint="eastAsia" w:ascii="Times New Roman"/>
          <w:szCs w:val="21"/>
        </w:rPr>
        <w:t>康复指导与</w:t>
      </w:r>
      <w:r>
        <w:rPr>
          <w:rFonts w:ascii="Times New Roman"/>
          <w:szCs w:val="21"/>
        </w:rPr>
        <w:t>随访</w:t>
      </w:r>
      <w:r>
        <w:rPr>
          <w:rFonts w:hint="eastAsia" w:ascii="Times New Roman"/>
          <w:szCs w:val="21"/>
        </w:rPr>
        <w:t>服务</w:t>
      </w:r>
      <w:r>
        <w:rPr>
          <w:rFonts w:ascii="Times New Roman"/>
          <w:szCs w:val="21"/>
        </w:rPr>
        <w:t>人员</w:t>
      </w:r>
      <w:r>
        <w:rPr>
          <w:rFonts w:hint="eastAsia" w:ascii="Times New Roman"/>
          <w:szCs w:val="21"/>
        </w:rPr>
        <w:t>资质</w:t>
      </w:r>
      <w:r>
        <w:rPr>
          <w:rFonts w:ascii="Times New Roman"/>
          <w:szCs w:val="21"/>
        </w:rPr>
        <w:t>、随访准备、随访实施、质量控制</w:t>
      </w:r>
      <w:r>
        <w:rPr>
          <w:rFonts w:hint="eastAsia" w:ascii="Times New Roman"/>
          <w:szCs w:val="21"/>
        </w:rPr>
        <w:t>等要求。</w:t>
      </w:r>
    </w:p>
    <w:p>
      <w:pPr>
        <w:pStyle w:val="56"/>
        <w:ind w:firstLine="420"/>
      </w:pPr>
      <w:r>
        <w:rPr>
          <w:rFonts w:ascii="Times New Roman"/>
          <w:szCs w:val="21"/>
        </w:rPr>
        <w:t>本文件适用于各级各类医疗机构、社区和居家有执业资格的医护人员开展乳腺癌患者随访服务</w:t>
      </w:r>
      <w:r>
        <w:rPr>
          <w:rFonts w:hint="eastAsia" w:ascii="Times New Roman"/>
          <w:szCs w:val="21"/>
        </w:rPr>
        <w:t>。</w:t>
      </w:r>
    </w:p>
    <w:p>
      <w:pPr>
        <w:pStyle w:val="104"/>
        <w:spacing w:before="312" w:after="312"/>
      </w:pPr>
      <w:bookmarkStart w:id="40" w:name="_Toc26986531"/>
      <w:bookmarkStart w:id="41" w:name="_Toc26986772"/>
      <w:bookmarkStart w:id="42" w:name="_Toc170201858"/>
      <w:bookmarkStart w:id="43" w:name="_Toc170288774"/>
      <w:bookmarkStart w:id="44" w:name="_Toc26718931"/>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302C3E015CDD439C87141ADCF95D330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本文件没有规范性引用文件。</w:t>
          </w:r>
        </w:p>
      </w:sdtContent>
    </w:sdt>
    <w:p>
      <w:pPr>
        <w:pStyle w:val="104"/>
        <w:spacing w:before="312" w:after="312"/>
      </w:pPr>
      <w:bookmarkStart w:id="45" w:name="_Toc170288775"/>
      <w:bookmarkStart w:id="46" w:name="_Toc170201859"/>
      <w:r>
        <w:rPr>
          <w:rFonts w:hint="eastAsia"/>
          <w:szCs w:val="21"/>
        </w:rPr>
        <w:t>术语和定义</w:t>
      </w:r>
      <w:bookmarkEnd w:id="45"/>
      <w:bookmarkEnd w:id="46"/>
    </w:p>
    <w:sdt>
      <w:sdtPr>
        <w:id w:val="-1909835108"/>
        <w:placeholder>
          <w:docPart w:val="A5DCB417C99D4074AF93AC1DB1654C5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7" w:name="_Toc26986532"/>
          <w:bookmarkEnd w:id="47"/>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乳腺癌 breast cancer</w:t>
      </w:r>
    </w:p>
    <w:p>
      <w:pPr>
        <w:pStyle w:val="56"/>
        <w:ind w:firstLine="420"/>
      </w:pPr>
      <w:r>
        <w:t>起源于乳腺腺体或导管上皮细胞的恶性肿瘤。</w:t>
      </w:r>
    </w:p>
    <w:p>
      <w:pPr>
        <w:pStyle w:val="223"/>
        <w:ind w:left="420" w:hanging="420" w:hangingChars="200"/>
        <w:rPr>
          <w:rFonts w:ascii="黑体" w:hAnsi="黑体" w:eastAsia="黑体"/>
        </w:rPr>
      </w:pPr>
      <w:r>
        <w:rPr>
          <w:rFonts w:ascii="黑体" w:hAnsi="黑体" w:eastAsia="黑体"/>
          <w:kern w:val="44"/>
        </w:rPr>
        <w:br w:type="textWrapping"/>
      </w:r>
      <w:r>
        <w:rPr>
          <w:rFonts w:ascii="黑体" w:hAnsi="黑体" w:eastAsia="黑体"/>
          <w:kern w:val="44"/>
        </w:rPr>
        <w:t>随访</w:t>
      </w:r>
      <w:r>
        <w:rPr>
          <w:rFonts w:ascii="黑体" w:hAnsi="黑体" w:eastAsia="黑体"/>
          <w:lang w:eastAsia="en-US"/>
        </w:rPr>
        <w:t>medical follo</w:t>
      </w:r>
      <w:r>
        <w:rPr>
          <w:rFonts w:ascii="黑体" w:hAnsi="黑体" w:eastAsia="黑体"/>
        </w:rPr>
        <w:t>w</w:t>
      </w:r>
      <w:r>
        <w:rPr>
          <w:rFonts w:ascii="黑体" w:hAnsi="黑体" w:eastAsia="黑体"/>
          <w:lang w:eastAsia="en-US"/>
        </w:rPr>
        <w:t>-up</w:t>
      </w:r>
    </w:p>
    <w:p>
      <w:pPr>
        <w:pStyle w:val="56"/>
        <w:ind w:firstLine="420"/>
      </w:pPr>
      <w:r>
        <w:t>医院根据出院患者需要，以通讯或其他的方式保持联系，或预约患者定期来院复查，以了解出院后患者的治疗效果、病情变化和指导患者康复的一种观察方法和工作手段。</w:t>
      </w:r>
    </w:p>
    <w:p>
      <w:pPr>
        <w:pStyle w:val="223"/>
        <w:ind w:left="420" w:hanging="420" w:hangingChars="200"/>
        <w:rPr>
          <w:rFonts w:ascii="黑体" w:hAnsi="黑体" w:eastAsia="黑体"/>
        </w:rPr>
      </w:pPr>
      <w:r>
        <w:rPr>
          <w:rFonts w:ascii="黑体" w:hAnsi="黑体" w:eastAsia="黑体"/>
          <w:kern w:val="44"/>
        </w:rPr>
        <w:br w:type="textWrapping"/>
      </w:r>
      <w:r>
        <w:rPr>
          <w:rFonts w:ascii="黑体" w:hAnsi="黑体" w:eastAsia="黑体"/>
          <w:kern w:val="44"/>
        </w:rPr>
        <w:t xml:space="preserve">乳腺癌患者随访 </w:t>
      </w:r>
      <w:r>
        <w:rPr>
          <w:rFonts w:ascii="黑体" w:hAnsi="黑体" w:eastAsia="黑体"/>
        </w:rPr>
        <w:t>follow-up of breast cancer</w:t>
      </w:r>
      <w:r>
        <w:rPr>
          <w:rFonts w:hint="eastAsia" w:ascii="黑体" w:hAnsi="黑体" w:eastAsia="黑体"/>
        </w:rPr>
        <w:t xml:space="preserve"> patients</w:t>
      </w:r>
    </w:p>
    <w:p>
      <w:pPr>
        <w:pStyle w:val="56"/>
        <w:ind w:firstLine="420"/>
      </w:pPr>
      <w:r>
        <w:t>根据乳腺癌患者出院后康复和诊疗需求，针对康复和诊疗内容制定随访方案，对患者进行阶段性随访，通过随访改善总体预后，提高生活质量。</w:t>
      </w:r>
    </w:p>
    <w:p>
      <w:pPr>
        <w:pStyle w:val="223"/>
        <w:ind w:left="420" w:hanging="420" w:hangingChars="200"/>
        <w:rPr>
          <w:rFonts w:ascii="黑体" w:hAnsi="黑体" w:eastAsia="黑体"/>
          <w:kern w:val="44"/>
        </w:rPr>
      </w:pPr>
      <w:r>
        <w:rPr>
          <w:rFonts w:ascii="黑体" w:hAnsi="黑体" w:eastAsia="黑体"/>
          <w:kern w:val="44"/>
        </w:rPr>
        <w:br w:type="textWrapping"/>
      </w:r>
      <w:r>
        <w:rPr>
          <w:rFonts w:ascii="黑体" w:hAnsi="黑体" w:eastAsia="黑体"/>
          <w:kern w:val="44"/>
        </w:rPr>
        <w:t>乳腺癌康复指导</w:t>
      </w:r>
      <w:r>
        <w:rPr>
          <w:rFonts w:ascii="黑体" w:hAnsi="黑体" w:eastAsia="黑体"/>
        </w:rPr>
        <w:t xml:space="preserve"> breast cancer rehabilitation  </w:t>
      </w:r>
    </w:p>
    <w:p>
      <w:pPr>
        <w:pStyle w:val="56"/>
        <w:ind w:firstLine="420"/>
      </w:pPr>
      <w:r>
        <w:t>康复包括生理功能恢复、心理状态调整及社会活动能力恢复。乳腺癌康复指导是指在乳腺癌治疗过程中或治疗结束后，通过系列的医学干预和自我管理，帮助患者恢复机体生理功能、调整心理状态，并且能够回归社会的过程。</w:t>
      </w:r>
    </w:p>
    <w:p>
      <w:pPr>
        <w:pStyle w:val="223"/>
        <w:ind w:left="420" w:hanging="420" w:hangingChars="200"/>
        <w:rPr>
          <w:rFonts w:ascii="黑体" w:hAnsi="黑体" w:eastAsia="黑体"/>
        </w:rPr>
      </w:pPr>
      <w:r>
        <w:rPr>
          <w:rFonts w:ascii="黑体" w:hAnsi="黑体" w:eastAsia="黑体"/>
          <w:kern w:val="44"/>
        </w:rPr>
        <w:br w:type="textWrapping"/>
      </w:r>
      <w:r>
        <w:rPr>
          <w:rFonts w:ascii="黑体" w:hAnsi="黑体" w:eastAsia="黑体"/>
          <w:kern w:val="44"/>
        </w:rPr>
        <w:t>失访</w:t>
      </w:r>
      <w:r>
        <w:rPr>
          <w:rFonts w:ascii="黑体" w:hAnsi="黑体" w:eastAsia="黑体"/>
        </w:rPr>
        <w:t xml:space="preserve"> lost of follow-up</w:t>
      </w:r>
    </w:p>
    <w:p>
      <w:pPr>
        <w:pStyle w:val="56"/>
        <w:ind w:firstLine="420"/>
      </w:pPr>
      <w:r>
        <w:rPr>
          <w:rFonts w:ascii="Times New Roman"/>
          <w:szCs w:val="21"/>
        </w:rPr>
        <w:t>因各种原因医务人员无法有效联系到随访对象，导致随访工作无法完成</w:t>
      </w:r>
      <w:r>
        <w:rPr>
          <w:rFonts w:hint="eastAsia" w:ascii="Times New Roman"/>
          <w:szCs w:val="21"/>
        </w:rPr>
        <w:t>。</w:t>
      </w:r>
    </w:p>
    <w:p>
      <w:pPr>
        <w:pStyle w:val="104"/>
        <w:spacing w:before="312" w:after="312"/>
      </w:pPr>
      <w:bookmarkStart w:id="48" w:name="_Toc170288776"/>
      <w:bookmarkStart w:id="49" w:name="_Toc170201860"/>
      <w:r>
        <w:t>人员要求</w:t>
      </w:r>
      <w:bookmarkEnd w:id="48"/>
      <w:bookmarkEnd w:id="49"/>
    </w:p>
    <w:p>
      <w:pPr>
        <w:pStyle w:val="105"/>
        <w:spacing w:before="156" w:after="156"/>
        <w:rPr>
          <w:lang w:val="en-GB"/>
        </w:rPr>
      </w:pPr>
      <w:bookmarkStart w:id="50" w:name="_Toc170201861"/>
      <w:r>
        <w:rPr>
          <w:lang w:val="en-GB"/>
        </w:rPr>
        <w:t>人员配备</w:t>
      </w:r>
      <w:bookmarkEnd w:id="50"/>
    </w:p>
    <w:p>
      <w:pPr>
        <w:pStyle w:val="165"/>
        <w:rPr>
          <w:lang w:val="en-GB"/>
        </w:rPr>
      </w:pPr>
      <w:r>
        <w:rPr>
          <w:lang w:val="en-GB"/>
        </w:rPr>
        <w:t>专业人员：应根据服务对象人数配备</w:t>
      </w:r>
      <w:r>
        <w:t>临床</w:t>
      </w:r>
      <w:r>
        <w:rPr>
          <w:lang w:val="en-GB"/>
        </w:rPr>
        <w:t>医生、</w:t>
      </w:r>
      <w:r>
        <w:t>护理人员</w:t>
      </w:r>
      <w:r>
        <w:rPr>
          <w:lang w:val="en-GB"/>
        </w:rPr>
        <w:t>若干。</w:t>
      </w:r>
    </w:p>
    <w:p>
      <w:pPr>
        <w:pStyle w:val="165"/>
        <w:rPr>
          <w:lang w:val="en-GB"/>
        </w:rPr>
      </w:pPr>
      <w:r>
        <w:rPr>
          <w:lang w:val="en-GB"/>
        </w:rPr>
        <w:t>管理人员</w:t>
      </w:r>
      <w:r>
        <w:t>：</w:t>
      </w:r>
      <w:r>
        <w:rPr>
          <w:lang w:val="en-GB"/>
        </w:rPr>
        <w:t>应配备日常管理人员。</w:t>
      </w:r>
    </w:p>
    <w:p>
      <w:pPr>
        <w:pStyle w:val="165"/>
      </w:pPr>
      <w:r>
        <w:rPr>
          <w:lang w:val="en-GB"/>
        </w:rPr>
        <w:t>其他人员：宜聘请</w:t>
      </w:r>
      <w:r>
        <w:t>药剂</w:t>
      </w:r>
      <w:r>
        <w:rPr>
          <w:lang w:val="en-GB"/>
        </w:rPr>
        <w:t>师、心理咨询师、</w:t>
      </w:r>
      <w:r>
        <w:t>营养师、康复师、</w:t>
      </w:r>
      <w:r>
        <w:rPr>
          <w:lang w:val="en-GB"/>
        </w:rPr>
        <w:t>社会工作者、志愿者等</w:t>
      </w:r>
      <w:r>
        <w:rPr>
          <w:rFonts w:hint="eastAsia"/>
          <w:lang w:val="en-GB"/>
        </w:rPr>
        <w:t>。</w:t>
      </w:r>
    </w:p>
    <w:p>
      <w:pPr>
        <w:pStyle w:val="105"/>
        <w:spacing w:before="156" w:after="156"/>
        <w:rPr>
          <w:lang w:val="en-GB"/>
        </w:rPr>
      </w:pPr>
      <w:bookmarkStart w:id="51" w:name="_Toc170201862"/>
      <w:r>
        <w:rPr>
          <w:lang w:val="en-GB"/>
        </w:rPr>
        <w:t>人员资质</w:t>
      </w:r>
      <w:bookmarkEnd w:id="51"/>
      <w:r>
        <w:rPr>
          <w:lang w:val="en-GB"/>
        </w:rPr>
        <w:t xml:space="preserve"> </w:t>
      </w:r>
    </w:p>
    <w:p>
      <w:pPr>
        <w:pStyle w:val="165"/>
      </w:pPr>
      <w:r>
        <w:t>学历要求：本科及以上</w:t>
      </w:r>
      <w:r>
        <w:rPr>
          <w:rFonts w:hint="eastAsia"/>
        </w:rPr>
        <w:t>。</w:t>
      </w:r>
    </w:p>
    <w:p>
      <w:pPr>
        <w:pStyle w:val="165"/>
      </w:pPr>
      <w:r>
        <w:t>职称要求：中级及以上</w:t>
      </w:r>
      <w:r>
        <w:rPr>
          <w:rFonts w:hint="eastAsia"/>
        </w:rPr>
        <w:t>。</w:t>
      </w:r>
    </w:p>
    <w:p>
      <w:pPr>
        <w:pStyle w:val="165"/>
      </w:pPr>
      <w:r>
        <w:t>工作年限：从事相关工作5年及以上</w:t>
      </w:r>
      <w:r>
        <w:rPr>
          <w:rFonts w:hint="eastAsia"/>
        </w:rPr>
        <w:t>。</w:t>
      </w:r>
    </w:p>
    <w:p>
      <w:pPr>
        <w:pStyle w:val="165"/>
      </w:pPr>
      <w:r>
        <w:t>其他要求：取得</w:t>
      </w:r>
      <w:r>
        <w:rPr>
          <w:rFonts w:hint="eastAsia"/>
        </w:rPr>
        <w:t>护理</w:t>
      </w:r>
      <w:r>
        <w:t>专业资格证书者并完成注册；具有扎实的专科知识和丰富的临床经验；具备良好</w:t>
      </w:r>
      <w:r>
        <w:rPr>
          <w:rFonts w:hint="eastAsia"/>
        </w:rPr>
        <w:t>的</w:t>
      </w:r>
      <w:r>
        <w:t>沟通交流和语言表达能力；具备高度责任心和</w:t>
      </w:r>
      <w:r>
        <w:rPr>
          <w:rFonts w:hint="eastAsia"/>
        </w:rPr>
        <w:t>专业能力。</w:t>
      </w:r>
    </w:p>
    <w:p>
      <w:pPr>
        <w:pStyle w:val="105"/>
        <w:spacing w:before="156" w:after="156"/>
        <w:rPr>
          <w:rFonts w:eastAsia="宋体"/>
        </w:rPr>
      </w:pPr>
      <w:bookmarkStart w:id="52" w:name="_Toc170201863"/>
      <w:r>
        <w:rPr>
          <w:rFonts w:hint="eastAsia"/>
        </w:rPr>
        <w:t>岗位职责</w:t>
      </w:r>
      <w:bookmarkEnd w:id="52"/>
    </w:p>
    <w:p>
      <w:pPr>
        <w:pStyle w:val="165"/>
        <w:rPr>
          <w:lang w:val="en-GB"/>
        </w:rPr>
      </w:pPr>
      <w:r>
        <w:rPr>
          <w:lang w:val="en-GB"/>
        </w:rPr>
        <w:t>护理团队应负责患者的档案建立、</w:t>
      </w:r>
      <w:r>
        <w:t>康复</w:t>
      </w:r>
      <w:r>
        <w:rPr>
          <w:lang w:val="en-GB"/>
        </w:rPr>
        <w:t>指导</w:t>
      </w:r>
      <w:r>
        <w:t>和健康宣教</w:t>
      </w:r>
      <w:r>
        <w:rPr>
          <w:lang w:val="en-GB"/>
        </w:rPr>
        <w:t>、随访计划拟定与实施等</w:t>
      </w:r>
      <w:r>
        <w:rPr>
          <w:rFonts w:hint="eastAsia"/>
          <w:lang w:val="en-GB"/>
        </w:rPr>
        <w:t>。</w:t>
      </w:r>
    </w:p>
    <w:p>
      <w:pPr>
        <w:pStyle w:val="165"/>
        <w:rPr>
          <w:lang w:val="en-GB"/>
        </w:rPr>
      </w:pPr>
      <w:r>
        <w:rPr>
          <w:lang w:val="en-GB"/>
        </w:rPr>
        <w:t>医疗团队应</w:t>
      </w:r>
      <w:r>
        <w:t>负责</w:t>
      </w:r>
      <w:r>
        <w:rPr>
          <w:lang w:val="en-GB"/>
        </w:rPr>
        <w:t>审核患者检查结果和随访计划，解答患者医疗诊断相关问题</w:t>
      </w:r>
      <w:r>
        <w:rPr>
          <w:rFonts w:hint="eastAsia"/>
          <w:lang w:val="en-GB"/>
        </w:rPr>
        <w:t>。</w:t>
      </w:r>
    </w:p>
    <w:p>
      <w:pPr>
        <w:pStyle w:val="165"/>
        <w:rPr>
          <w:lang w:val="en-GB"/>
        </w:rPr>
      </w:pPr>
      <w:r>
        <w:t>随访</w:t>
      </w:r>
      <w:r>
        <w:rPr>
          <w:lang w:val="en-GB"/>
        </w:rPr>
        <w:t>管理人员应接受过</w:t>
      </w:r>
      <w:r>
        <w:t>乳腺</w:t>
      </w:r>
      <w:r>
        <w:rPr>
          <w:lang w:val="en-GB"/>
        </w:rPr>
        <w:t>癌康复指导与随访服务政策法规、工作规范、管理制度等业务培训，负责团队的日常管理和工作协调</w:t>
      </w:r>
      <w:r>
        <w:rPr>
          <w:rFonts w:hint="eastAsia"/>
          <w:lang w:val="en-GB"/>
        </w:rPr>
        <w:t>。</w:t>
      </w:r>
    </w:p>
    <w:p>
      <w:pPr>
        <w:pStyle w:val="165"/>
      </w:pPr>
      <w:r>
        <w:rPr>
          <w:rFonts w:hint="eastAsia" w:hAnsi="宋体"/>
          <w:lang w:val="en-GB"/>
        </w:rPr>
        <w:t>其他</w:t>
      </w:r>
      <w:r>
        <w:rPr>
          <w:rFonts w:hint="eastAsia" w:hAnsi="宋体"/>
        </w:rPr>
        <w:t>专业人员宜</w:t>
      </w:r>
      <w:r>
        <w:rPr>
          <w:rFonts w:hint="eastAsia" w:hAnsi="宋体"/>
          <w:lang w:val="en-GB"/>
        </w:rPr>
        <w:t>协助医护团队为患者提供专业知识支持。</w:t>
      </w:r>
    </w:p>
    <w:p>
      <w:pPr>
        <w:pStyle w:val="105"/>
        <w:spacing w:before="156" w:after="156"/>
      </w:pPr>
      <w:bookmarkStart w:id="53" w:name="_Toc170201864"/>
      <w:r>
        <w:t>培训要求</w:t>
      </w:r>
      <w:bookmarkEnd w:id="53"/>
      <w:r>
        <w:t xml:space="preserve"> </w:t>
      </w:r>
    </w:p>
    <w:p>
      <w:pPr>
        <w:pStyle w:val="165"/>
      </w:pPr>
      <w:r>
        <w:rPr>
          <w:szCs w:val="21"/>
        </w:rPr>
        <w:t>应对</w:t>
      </w:r>
      <w:r>
        <w:rPr>
          <w:rFonts w:hint="eastAsia"/>
          <w:szCs w:val="21"/>
        </w:rPr>
        <w:t>康复指导及</w:t>
      </w:r>
      <w:r>
        <w:rPr>
          <w:szCs w:val="21"/>
        </w:rPr>
        <w:t>随访</w:t>
      </w:r>
      <w:r>
        <w:rPr>
          <w:rFonts w:hint="eastAsia"/>
          <w:szCs w:val="21"/>
        </w:rPr>
        <w:t>服务</w:t>
      </w:r>
      <w:r>
        <w:t>人员进行相关知识培训</w:t>
      </w:r>
      <w:r>
        <w:rPr>
          <w:rFonts w:hint="eastAsia"/>
        </w:rPr>
        <w:t>。</w:t>
      </w:r>
    </w:p>
    <w:p>
      <w:pPr>
        <w:pStyle w:val="165"/>
        <w:rPr>
          <w:szCs w:val="21"/>
        </w:rPr>
      </w:pPr>
      <w:r>
        <w:rPr>
          <w:rFonts w:hint="eastAsia"/>
        </w:rPr>
        <w:t>知识培训</w:t>
      </w:r>
      <w:r>
        <w:rPr>
          <w:szCs w:val="21"/>
          <w:lang w:val="en-GB"/>
        </w:rPr>
        <w:t>包括但不限于以下内容：</w:t>
      </w:r>
    </w:p>
    <w:p>
      <w:pPr>
        <w:pStyle w:val="174"/>
        <w:rPr>
          <w:lang w:val="en-GB"/>
        </w:rPr>
      </w:pPr>
      <w:r>
        <w:rPr>
          <w:lang w:val="en-GB"/>
        </w:rPr>
        <w:t>相关法规及标准</w:t>
      </w:r>
      <w:r>
        <w:rPr>
          <w:rFonts w:hint="eastAsia"/>
          <w:lang w:val="en-GB"/>
        </w:rPr>
        <w:t>。</w:t>
      </w:r>
    </w:p>
    <w:p>
      <w:pPr>
        <w:pStyle w:val="174"/>
        <w:rPr>
          <w:lang w:val="en-GB"/>
        </w:rPr>
      </w:pPr>
      <w:r>
        <w:t>乳腺癌康复诊疗、随访管理相关指南及</w:t>
      </w:r>
      <w:r>
        <w:rPr>
          <w:lang w:val="en-GB"/>
        </w:rPr>
        <w:t>最新研究进展</w:t>
      </w:r>
      <w:r>
        <w:rPr>
          <w:rFonts w:hint="eastAsia"/>
          <w:lang w:val="en-GB"/>
        </w:rPr>
        <w:t>。</w:t>
      </w:r>
    </w:p>
    <w:p>
      <w:pPr>
        <w:pStyle w:val="174"/>
        <w:rPr>
          <w:lang w:val="en-GB"/>
        </w:rPr>
      </w:pPr>
      <w:r>
        <w:rPr>
          <w:lang w:val="en-GB"/>
        </w:rPr>
        <w:t>随访服务技能与技巧，如：病情观察、总结与反馈能力</w:t>
      </w:r>
      <w:r>
        <w:rPr>
          <w:rFonts w:hint="eastAsia"/>
          <w:lang w:val="en-GB"/>
        </w:rPr>
        <w:t>。</w:t>
      </w:r>
      <w:r>
        <w:rPr>
          <w:lang w:val="en-GB"/>
        </w:rPr>
        <w:t xml:space="preserve"> </w:t>
      </w:r>
    </w:p>
    <w:p>
      <w:pPr>
        <w:pStyle w:val="174"/>
        <w:rPr>
          <w:lang w:val="en-GB"/>
        </w:rPr>
      </w:pPr>
      <w:r>
        <w:rPr>
          <w:lang w:val="en-GB"/>
        </w:rPr>
        <w:t>随访服务注意事项</w:t>
      </w:r>
      <w:r>
        <w:rPr>
          <w:rFonts w:hint="eastAsia"/>
          <w:lang w:val="en-GB"/>
        </w:rPr>
        <w:t>。</w:t>
      </w:r>
    </w:p>
    <w:p>
      <w:pPr>
        <w:pStyle w:val="174"/>
        <w:rPr>
          <w:rFonts w:eastAsia="黑体"/>
        </w:rPr>
      </w:pPr>
      <w:r>
        <w:rPr>
          <w:lang w:val="en-GB"/>
        </w:rPr>
        <w:t>人际沟通、心理学知识培训。</w:t>
      </w:r>
    </w:p>
    <w:p>
      <w:pPr>
        <w:pStyle w:val="104"/>
        <w:spacing w:before="312" w:after="312"/>
      </w:pPr>
      <w:bookmarkStart w:id="54" w:name="_Toc170288777"/>
      <w:bookmarkStart w:id="55" w:name="_Toc170201865"/>
      <w:r>
        <w:t>随访要素</w:t>
      </w:r>
      <w:bookmarkEnd w:id="54"/>
      <w:bookmarkEnd w:id="55"/>
    </w:p>
    <w:p>
      <w:pPr>
        <w:pStyle w:val="114"/>
        <w:numPr>
          <w:ilvl w:val="0"/>
          <w:numId w:val="0"/>
        </w:numPr>
        <w:spacing w:before="156" w:after="156"/>
        <w:rPr>
          <w:rFonts w:ascii="Times New Roman"/>
          <w:szCs w:val="21"/>
        </w:rPr>
      </w:pPr>
      <w:r>
        <w:rPr>
          <w:rFonts w:ascii="Times New Roman"/>
          <w:szCs w:val="21"/>
        </w:rPr>
        <w:object>
          <v:shape id="_x0000_i1025" o:spt="75" type="#_x0000_t75" style="height:132pt;width:297.35pt;" o:ole="t" filled="f" o:preferrelative="t" stroked="f" coordsize="21600,21600">
            <v:path/>
            <v:fill on="f" focussize="0,0"/>
            <v:stroke on="f" joinstyle="miter"/>
            <v:imagedata r:id="rId17" o:title=""/>
            <o:lock v:ext="edit" aspectratio="f"/>
            <w10:wrap type="none"/>
            <w10:anchorlock/>
          </v:shape>
          <o:OLEObject Type="Embed" ProgID="Visio.Drawing.15" ShapeID="_x0000_i1025" DrawAspect="Content" ObjectID="_1468075725" r:id="rId16">
            <o:LockedField>false</o:LockedField>
          </o:OLEObject>
        </w:object>
      </w:r>
    </w:p>
    <w:p>
      <w:pPr>
        <w:pStyle w:val="114"/>
        <w:spacing w:before="156" w:after="156"/>
        <w:rPr>
          <w:rFonts w:ascii="Times New Roman"/>
          <w:szCs w:val="21"/>
        </w:rPr>
      </w:pPr>
      <w:r>
        <w:rPr>
          <w:rFonts w:ascii="Times New Roman"/>
          <w:szCs w:val="21"/>
        </w:rPr>
        <w:t>随访服务关键要素图</w:t>
      </w:r>
    </w:p>
    <w:p>
      <w:pPr>
        <w:pStyle w:val="56"/>
        <w:ind w:firstLine="420"/>
      </w:pPr>
    </w:p>
    <w:p>
      <w:pPr>
        <w:pStyle w:val="104"/>
        <w:spacing w:before="312" w:after="312"/>
      </w:pPr>
      <w:bookmarkStart w:id="56" w:name="_Toc170201866"/>
      <w:bookmarkStart w:id="57" w:name="_Toc170288778"/>
      <w:r>
        <w:t>随访准备</w:t>
      </w:r>
      <w:bookmarkEnd w:id="56"/>
      <w:bookmarkEnd w:id="57"/>
    </w:p>
    <w:p>
      <w:pPr>
        <w:pStyle w:val="105"/>
        <w:spacing w:before="156" w:after="156"/>
      </w:pPr>
      <w:bookmarkStart w:id="58" w:name="_Toc170201867"/>
      <w:r>
        <w:t>随访要求</w:t>
      </w:r>
      <w:bookmarkEnd w:id="58"/>
    </w:p>
    <w:p>
      <w:pPr>
        <w:pStyle w:val="165"/>
      </w:pPr>
      <w:r>
        <w:t>各级医疗机构应对出院乳腺癌患者进行随访服务，在术后、化疗、靶向、免疫、放疗、内分泌治疗及居家期间实施随访服务。</w:t>
      </w:r>
    </w:p>
    <w:p>
      <w:pPr>
        <w:pStyle w:val="165"/>
      </w:pPr>
      <w:r>
        <w:t>医疗机构应根据乳腺癌患者健康需求及医疗机构条件制定随访管理方案，方案应由多学科随访管理团队确立。</w:t>
      </w:r>
    </w:p>
    <w:p>
      <w:pPr>
        <w:pStyle w:val="165"/>
      </w:pPr>
      <w:r>
        <w:t>所有乳腺癌患者均应纳入随访计划，确立随访联系人，定期进行随访评估</w:t>
      </w:r>
      <w:r>
        <w:rPr>
          <w:rFonts w:hint="eastAsia"/>
        </w:rPr>
        <w:t>。</w:t>
      </w:r>
    </w:p>
    <w:p>
      <w:pPr>
        <w:pStyle w:val="105"/>
        <w:spacing w:before="156" w:after="156"/>
      </w:pPr>
      <w:bookmarkStart w:id="59" w:name="_Toc170201868"/>
      <w:r>
        <w:t>随访前评估</w:t>
      </w:r>
      <w:bookmarkEnd w:id="59"/>
    </w:p>
    <w:p>
      <w:pPr>
        <w:pStyle w:val="165"/>
      </w:pPr>
      <w:r>
        <w:t>宜在</w:t>
      </w:r>
      <w:r>
        <w:rPr>
          <w:rFonts w:hint="eastAsia"/>
        </w:rPr>
        <w:t>进行</w:t>
      </w:r>
      <w:r>
        <w:t>随访前评估个人基本情况（文化程度、家族病史、既往史、婚姻、家庭社会支持等基本情况）、生活习惯、心理状态等</w:t>
      </w:r>
      <w:r>
        <w:rPr>
          <w:rFonts w:hint="eastAsia"/>
        </w:rPr>
        <w:t>。</w:t>
      </w:r>
    </w:p>
    <w:p>
      <w:pPr>
        <w:pStyle w:val="165"/>
      </w:pPr>
      <w:r>
        <w:t>宜在</w:t>
      </w:r>
      <w:r>
        <w:rPr>
          <w:rFonts w:hint="eastAsia"/>
        </w:rPr>
        <w:t>进行</w:t>
      </w:r>
      <w:r>
        <w:t>随访前评估个人治疗情况（病情情况、手术记录、化疗、放疗、内分泌等治疗情况）、</w:t>
      </w:r>
      <w:r>
        <w:rPr>
          <w:rFonts w:hint="eastAsia"/>
        </w:rPr>
        <w:t>用药情况。</w:t>
      </w:r>
    </w:p>
    <w:p>
      <w:pPr>
        <w:pStyle w:val="105"/>
        <w:spacing w:before="156" w:after="156"/>
      </w:pPr>
      <w:bookmarkStart w:id="60" w:name="_Toc170201869"/>
      <w:r>
        <w:t>随访前指导</w:t>
      </w:r>
      <w:bookmarkEnd w:id="60"/>
    </w:p>
    <w:p>
      <w:pPr>
        <w:pStyle w:val="165"/>
      </w:pPr>
      <w:r>
        <w:t>出院前，应提供适合患者康复需求的随访前指导，内容宜包括目前治疗方案、随访计划、自我保健、何种情况需紧急就医等，以取得患者配合。</w:t>
      </w:r>
    </w:p>
    <w:p>
      <w:pPr>
        <w:pStyle w:val="165"/>
      </w:pPr>
      <w:r>
        <w:t>随访前指导应以书面、口头等形式告知患者和/或家属，取得理解和配合，并在出院记录中体现。如果患者因病情或能力无法理解随访指导的内容，则家属应参与此随访前指导的过程。</w:t>
      </w:r>
    </w:p>
    <w:p>
      <w:pPr>
        <w:pStyle w:val="165"/>
      </w:pPr>
      <w:r>
        <w:t>医疗机构应在随访前准确采集患者信息，保护患者信息不外泄</w:t>
      </w:r>
      <w:r>
        <w:rPr>
          <w:rFonts w:hint="eastAsia"/>
        </w:rPr>
        <w:t>。</w:t>
      </w:r>
    </w:p>
    <w:p>
      <w:pPr>
        <w:pStyle w:val="104"/>
        <w:spacing w:before="312" w:after="312"/>
        <w:rPr>
          <w:rFonts w:ascii="Times New Roman"/>
          <w:szCs w:val="21"/>
        </w:rPr>
      </w:pPr>
      <w:bookmarkStart w:id="61" w:name="_Toc170201870"/>
      <w:bookmarkStart w:id="62" w:name="_Toc170288779"/>
      <w:r>
        <w:rPr>
          <w:rFonts w:ascii="Times New Roman"/>
          <w:szCs w:val="21"/>
        </w:rPr>
        <w:t>随访实施</w:t>
      </w:r>
      <w:bookmarkEnd w:id="61"/>
      <w:bookmarkEnd w:id="62"/>
    </w:p>
    <w:p>
      <w:pPr>
        <w:pStyle w:val="105"/>
        <w:spacing w:before="156" w:after="156"/>
      </w:pPr>
      <w:bookmarkStart w:id="63" w:name="_Toc170201871"/>
      <w:r>
        <w:t>随访服务要求</w:t>
      </w:r>
      <w:bookmarkEnd w:id="63"/>
    </w:p>
    <w:p>
      <w:pPr>
        <w:pStyle w:val="165"/>
        <w:rPr>
          <w:szCs w:val="21"/>
        </w:rPr>
      </w:pPr>
      <w:r>
        <w:t>应尊重患者个人隐私，确保患者信息安全</w:t>
      </w:r>
      <w:r>
        <w:rPr>
          <w:rFonts w:hint="eastAsia"/>
        </w:rPr>
        <w:t>。</w:t>
      </w:r>
    </w:p>
    <w:p>
      <w:pPr>
        <w:pStyle w:val="165"/>
        <w:rPr>
          <w:szCs w:val="21"/>
        </w:rPr>
      </w:pPr>
      <w:r>
        <w:t>应与患者建立良好信任关系，倾听患者需求和意见</w:t>
      </w:r>
      <w:r>
        <w:rPr>
          <w:rFonts w:hint="eastAsia"/>
        </w:rPr>
        <w:t>。</w:t>
      </w:r>
    </w:p>
    <w:p>
      <w:pPr>
        <w:pStyle w:val="165"/>
        <w:rPr>
          <w:szCs w:val="21"/>
        </w:rPr>
      </w:pPr>
      <w:r>
        <w:rPr>
          <w:szCs w:val="21"/>
        </w:rPr>
        <w:t>应使用通俗易懂的语言，</w:t>
      </w:r>
      <w:r>
        <w:rPr>
          <w:rFonts w:hint="eastAsia"/>
          <w:szCs w:val="21"/>
        </w:rPr>
        <w:t>使</w:t>
      </w:r>
      <w:r>
        <w:t>患者能够理解医疗建议</w:t>
      </w:r>
      <w:r>
        <w:rPr>
          <w:rFonts w:hint="eastAsia"/>
        </w:rPr>
        <w:t>。</w:t>
      </w:r>
    </w:p>
    <w:p>
      <w:pPr>
        <w:pStyle w:val="165"/>
        <w:rPr>
          <w:szCs w:val="21"/>
        </w:rPr>
      </w:pPr>
      <w:r>
        <w:rPr>
          <w:szCs w:val="21"/>
        </w:rPr>
        <w:t>应根据患者实际情况，对随访方案进行个</w:t>
      </w:r>
      <w:r>
        <w:t>性化调整</w:t>
      </w:r>
      <w:r>
        <w:rPr>
          <w:rFonts w:hint="eastAsia"/>
        </w:rPr>
        <w:t>。</w:t>
      </w:r>
    </w:p>
    <w:p>
      <w:pPr>
        <w:pStyle w:val="165"/>
        <w:rPr>
          <w:szCs w:val="21"/>
        </w:rPr>
      </w:pPr>
      <w:r>
        <w:rPr>
          <w:szCs w:val="21"/>
        </w:rPr>
        <w:t>应了解患者的治疗效果、病情变化和身体恢复</w:t>
      </w:r>
      <w:r>
        <w:t>情况，为患者提供饮食、用药、康复、复诊、病情变化处理等专业指导</w:t>
      </w:r>
      <w:r>
        <w:rPr>
          <w:rFonts w:hint="eastAsia"/>
        </w:rPr>
        <w:t>。</w:t>
      </w:r>
    </w:p>
    <w:p>
      <w:pPr>
        <w:pStyle w:val="165"/>
        <w:rPr>
          <w:szCs w:val="21"/>
        </w:rPr>
      </w:pPr>
      <w:r>
        <w:rPr>
          <w:szCs w:val="21"/>
        </w:rPr>
        <w:t>应对乳腺癌患者进行初步评估，根据评估结果制定乳腺癌患者随访计划，包括随访时间、随访方式、随访内容、随访者等。</w:t>
      </w:r>
    </w:p>
    <w:p>
      <w:pPr>
        <w:pStyle w:val="165"/>
        <w:rPr>
          <w:szCs w:val="21"/>
        </w:rPr>
      </w:pPr>
      <w:r>
        <w:rPr>
          <w:szCs w:val="21"/>
        </w:rPr>
        <w:t>应及时记录患者健康状况、随访结果及病情变化，以便后续分析和跟进</w:t>
      </w:r>
      <w:r>
        <w:rPr>
          <w:rFonts w:hint="eastAsia"/>
          <w:szCs w:val="21"/>
        </w:rPr>
        <w:t>。</w:t>
      </w:r>
    </w:p>
    <w:p>
      <w:pPr>
        <w:pStyle w:val="165"/>
      </w:pPr>
      <w:r>
        <w:rPr>
          <w:szCs w:val="21"/>
        </w:rPr>
        <w:t>随访服务</w:t>
      </w:r>
      <w:r>
        <w:t>过程中如果随访对象拒绝随访，应停止随访并记录，重新制定随访计划</w:t>
      </w:r>
      <w:r>
        <w:rPr>
          <w:rFonts w:hint="eastAsia"/>
        </w:rPr>
        <w:t>。</w:t>
      </w:r>
    </w:p>
    <w:p>
      <w:pPr>
        <w:pStyle w:val="165"/>
      </w:pPr>
      <w:r>
        <w:rPr>
          <w:szCs w:val="21"/>
        </w:rPr>
        <w:t>对实施保护性医疗的患者，随访时应根据保护性医疗需求执行</w:t>
      </w:r>
      <w:r>
        <w:rPr>
          <w:rFonts w:hint="eastAsia"/>
        </w:rPr>
        <w:t>。</w:t>
      </w:r>
    </w:p>
    <w:p>
      <w:pPr>
        <w:pStyle w:val="105"/>
        <w:spacing w:before="156" w:after="156"/>
      </w:pPr>
      <w:bookmarkStart w:id="64" w:name="_Toc170201872"/>
      <w:r>
        <w:t>随访管理</w:t>
      </w:r>
      <w:r>
        <w:rPr>
          <w:rFonts w:hint="eastAsia"/>
        </w:rPr>
        <w:t>方案</w:t>
      </w:r>
      <w:bookmarkEnd w:id="64"/>
    </w:p>
    <w:p>
      <w:pPr>
        <w:pStyle w:val="165"/>
      </w:pPr>
      <w:r>
        <w:t>随访形式</w:t>
      </w:r>
      <w:r>
        <w:rPr>
          <w:szCs w:val="21"/>
          <w:lang w:val="en-GB"/>
        </w:rPr>
        <w:t>包括但不限于以下内容</w:t>
      </w:r>
      <w:r>
        <w:rPr>
          <w:rFonts w:hint="eastAsia"/>
          <w:szCs w:val="21"/>
          <w:lang w:val="en-GB"/>
        </w:rPr>
        <w:t>：</w:t>
      </w:r>
    </w:p>
    <w:p>
      <w:pPr>
        <w:pStyle w:val="174"/>
        <w:numPr>
          <w:ilvl w:val="0"/>
          <w:numId w:val="32"/>
        </w:numPr>
      </w:pPr>
      <w:r>
        <w:t>网络随访：宜通过微信、互联网移动平台、医院个案管理系统等信息化平台将乳腺癌康复指导视频、音频、宣教材料推送给患者（或照顾者）。患者通过网络平台实现在线咨询、预约复诊等服务。</w:t>
      </w:r>
    </w:p>
    <w:p>
      <w:pPr>
        <w:pStyle w:val="174"/>
      </w:pPr>
      <w:r>
        <w:t>电话/短信随访：通过电话或发送短信形式对乳腺癌患者进行随访管理与康复指导。</w:t>
      </w:r>
    </w:p>
    <w:p>
      <w:pPr>
        <w:pStyle w:val="174"/>
      </w:pPr>
      <w:r>
        <w:t>居家随访：对于一些特殊人群，如行动不便、病情严重的乳腺癌患者宜在患者出院后，前往患者家中或通过其他方式对患者健康状态进行跟踪与管理。</w:t>
      </w:r>
    </w:p>
    <w:p>
      <w:pPr>
        <w:pStyle w:val="165"/>
      </w:pPr>
      <w:r>
        <w:rPr>
          <w:rFonts w:hint="eastAsia"/>
        </w:rPr>
        <w:t>随访时间：应在乳腺癌患者第一次出院后开始随访，应终生随访。</w:t>
      </w:r>
    </w:p>
    <w:p>
      <w:pPr>
        <w:pStyle w:val="165"/>
      </w:pPr>
      <w:r>
        <w:t>随访流程：宜按照乳腺癌</w:t>
      </w:r>
      <w:r>
        <w:rPr>
          <w:rFonts w:hint="eastAsia"/>
        </w:rPr>
        <w:t>患者</w:t>
      </w:r>
      <w:r>
        <w:t>随访流程图（附录A）对乳腺癌患者进行随访。</w:t>
      </w:r>
    </w:p>
    <w:p>
      <w:pPr>
        <w:pStyle w:val="165"/>
      </w:pPr>
      <w:r>
        <w:t>随访</w:t>
      </w:r>
      <w:r>
        <w:rPr>
          <w:rFonts w:hint="eastAsia"/>
        </w:rPr>
        <w:t>登记</w:t>
      </w:r>
      <w:r>
        <w:t>：宜按照乳腺癌随访登记表（附录B）记录乳腺癌随访内容。</w:t>
      </w:r>
    </w:p>
    <w:p>
      <w:pPr>
        <w:pStyle w:val="165"/>
      </w:pPr>
      <w:r>
        <w:rPr>
          <w:rFonts w:hint="eastAsia"/>
        </w:rPr>
        <w:t>随访项目</w:t>
      </w:r>
      <w:r>
        <w:t>与随访频次：</w:t>
      </w:r>
      <w:r>
        <w:rPr>
          <w:snapToGrid w:val="0"/>
          <w:lang w:bidi="ar"/>
        </w:rPr>
        <w:t>宜按照</w:t>
      </w:r>
      <w:r>
        <w:t>乳腺癌患者随诊随访项目</w:t>
      </w:r>
      <w:r>
        <w:rPr>
          <w:rFonts w:hint="eastAsia"/>
        </w:rPr>
        <w:t>与随访频次</w:t>
      </w:r>
      <w:r>
        <w:t>（附录C）</w:t>
      </w:r>
      <w:r>
        <w:rPr>
          <w:rFonts w:hint="eastAsia"/>
        </w:rPr>
        <w:t>要求</w:t>
      </w:r>
      <w:r>
        <w:t>，若结果存在异常，应遵医嘱预约下次随访检查。</w:t>
      </w:r>
    </w:p>
    <w:p>
      <w:pPr>
        <w:pStyle w:val="165"/>
      </w:pPr>
      <w:r>
        <w:rPr>
          <w:kern w:val="44"/>
        </w:rPr>
        <w:t>精神心理随访：</w:t>
      </w:r>
      <w:r>
        <w:t>宜采用9条目病人健康问卷（附录D）和广泛性焦虑自</w:t>
      </w:r>
      <w:r>
        <w:rPr>
          <w:rFonts w:hint="eastAsia"/>
        </w:rPr>
        <w:t>评</w:t>
      </w:r>
      <w:r>
        <w:t>量表（附录E）对乳腺癌患者进行精神心理评估。</w:t>
      </w:r>
    </w:p>
    <w:p>
      <w:pPr>
        <w:pStyle w:val="165"/>
      </w:pPr>
      <w:r>
        <w:t>症状随访：宜根据不同类型乳腺癌患者伴随疾病和症状进行随访（附录F）</w:t>
      </w:r>
      <w:r>
        <w:rPr>
          <w:rFonts w:hint="eastAsia"/>
        </w:rPr>
        <w:t>。</w:t>
      </w:r>
    </w:p>
    <w:p>
      <w:pPr>
        <w:pStyle w:val="105"/>
        <w:spacing w:before="156" w:after="156"/>
      </w:pPr>
      <w:bookmarkStart w:id="65" w:name="_Toc170201873"/>
      <w:r>
        <w:t>随访</w:t>
      </w:r>
      <w:r>
        <w:rPr>
          <w:rFonts w:hint="eastAsia"/>
        </w:rPr>
        <w:t>数据</w:t>
      </w:r>
      <w:r>
        <w:t>记录与管理</w:t>
      </w:r>
      <w:bookmarkEnd w:id="65"/>
    </w:p>
    <w:p>
      <w:pPr>
        <w:pStyle w:val="165"/>
      </w:pPr>
      <w:r>
        <w:t>数据记录：随访结束后应对随访过程中的各项数据进行详细记录，包括患者健康状况、治疗效果、及时就诊率、随访率、计划完成率、满意度等；</w:t>
      </w:r>
    </w:p>
    <w:p>
      <w:pPr>
        <w:pStyle w:val="165"/>
      </w:pPr>
      <w:r>
        <w:t>数据分析：随访结束后应对随访数据进行分析，评估随访服务的质量和效果，及时发现问题；</w:t>
      </w:r>
    </w:p>
    <w:p>
      <w:pPr>
        <w:pStyle w:val="165"/>
      </w:pPr>
      <w:r>
        <w:t>持续改进：随访结束后应根据数据分析和评估的结果，不断调整和优化随访服务流程和方法，以实现持续改进</w:t>
      </w:r>
      <w:r>
        <w:rPr>
          <w:rFonts w:hint="eastAsia"/>
        </w:rPr>
        <w:t>。</w:t>
      </w:r>
    </w:p>
    <w:p>
      <w:pPr>
        <w:pStyle w:val="104"/>
        <w:spacing w:before="312" w:after="312"/>
      </w:pPr>
      <w:bookmarkStart w:id="66" w:name="_Toc170201874"/>
      <w:bookmarkStart w:id="67" w:name="_Toc170288780"/>
      <w:r>
        <w:t>随访质量控制</w:t>
      </w:r>
      <w:bookmarkEnd w:id="66"/>
      <w:bookmarkEnd w:id="67"/>
    </w:p>
    <w:p>
      <w:pPr>
        <w:pStyle w:val="105"/>
        <w:spacing w:before="156" w:after="156"/>
      </w:pPr>
      <w:bookmarkStart w:id="68" w:name="_Toc170201875"/>
      <w:r>
        <w:t>质量控制要求</w:t>
      </w:r>
      <w:bookmarkEnd w:id="68"/>
    </w:p>
    <w:p>
      <w:pPr>
        <w:pStyle w:val="165"/>
      </w:pPr>
      <w:r>
        <w:t>随访纳入全院统一管理。医疗机构应明确患者随访工作主管部门，建立随访中心或配备专职人员管理与实施随访工作</w:t>
      </w:r>
      <w:r>
        <w:rPr>
          <w:rFonts w:hint="eastAsia"/>
        </w:rPr>
        <w:t>。</w:t>
      </w:r>
    </w:p>
    <w:p>
      <w:pPr>
        <w:pStyle w:val="165"/>
      </w:pPr>
      <w:r>
        <w:t>医疗机构应按照本标准制定乳腺癌患者随访管理制度，包括</w:t>
      </w:r>
      <w:r>
        <w:rPr>
          <w:rFonts w:hint="eastAsia"/>
        </w:rPr>
        <w:t>建立随访团队，制定</w:t>
      </w:r>
      <w:r>
        <w:t>随访准备、</w:t>
      </w:r>
      <w:r>
        <w:rPr>
          <w:rFonts w:hint="eastAsia"/>
        </w:rPr>
        <w:t>随访</w:t>
      </w:r>
      <w:r>
        <w:t>实施、质量控制等</w:t>
      </w:r>
      <w:r>
        <w:rPr>
          <w:rFonts w:hint="eastAsia"/>
        </w:rPr>
        <w:t>要求</w:t>
      </w:r>
      <w:r>
        <w:t>。</w:t>
      </w:r>
    </w:p>
    <w:p>
      <w:pPr>
        <w:pStyle w:val="165"/>
      </w:pPr>
      <w:r>
        <w:t>医疗机构应制定随访工作质量评价标准，实施过程监控，提高随访工作质量。</w:t>
      </w:r>
    </w:p>
    <w:p>
      <w:pPr>
        <w:pStyle w:val="165"/>
      </w:pPr>
      <w:r>
        <w:t>医疗机构应监测随访率、失访率和随访过程中不良事件，定期分析随访反馈中的患者安全相关各种风险因素，监控患者紧急就医情况。</w:t>
      </w:r>
    </w:p>
    <w:p>
      <w:pPr>
        <w:pStyle w:val="165"/>
      </w:pPr>
      <w:r>
        <w:rPr>
          <w:lang w:val="en-GB"/>
        </w:rPr>
        <w:t>医疗机构宜</w:t>
      </w:r>
      <w:r>
        <w:t>建立乳腺癌</w:t>
      </w:r>
      <w:r>
        <w:rPr>
          <w:rFonts w:hint="eastAsia"/>
        </w:rPr>
        <w:t>患者</w:t>
      </w:r>
      <w:r>
        <w:rPr>
          <w:lang w:val="en-GB"/>
        </w:rPr>
        <w:t>健康教育质控小组，负责本机构</w:t>
      </w:r>
      <w:r>
        <w:t>乳腺癌</w:t>
      </w:r>
      <w:r>
        <w:rPr>
          <w:rFonts w:hint="eastAsia"/>
        </w:rPr>
        <w:t>患者</w:t>
      </w:r>
      <w:r>
        <w:rPr>
          <w:lang w:val="en-GB"/>
        </w:rPr>
        <w:t>健康教育工作，定期对机构内成员进行培训及考核，对健康宣教落实进行质控监管，定期组织反馈会议，修订工作流程，持续改进工作，确保健康宣教标准、规范、优质</w:t>
      </w:r>
      <w:r>
        <w:rPr>
          <w:rFonts w:hint="eastAsia"/>
          <w:lang w:val="en-GB"/>
        </w:rPr>
        <w:t>。</w:t>
      </w:r>
    </w:p>
    <w:p>
      <w:pPr>
        <w:pStyle w:val="105"/>
        <w:spacing w:before="156" w:after="156"/>
      </w:pPr>
      <w:bookmarkStart w:id="69" w:name="_Toc170201876"/>
      <w:r>
        <w:t>质量控制指标</w:t>
      </w:r>
      <w:bookmarkEnd w:id="69"/>
    </w:p>
    <w:p>
      <w:pPr>
        <w:pStyle w:val="56"/>
        <w:ind w:firstLine="420"/>
      </w:pPr>
      <w:r>
        <w:t>医疗机构</w:t>
      </w:r>
      <w:r>
        <w:rPr>
          <w:rFonts w:hint="eastAsia"/>
        </w:rPr>
        <w:t>宜</w:t>
      </w:r>
      <w:r>
        <w:t>建立随访相关质量控制指标，包括但不限于以下指标：</w:t>
      </w:r>
    </w:p>
    <w:p>
      <w:pPr>
        <w:pStyle w:val="174"/>
        <w:numPr>
          <w:ilvl w:val="0"/>
          <w:numId w:val="33"/>
        </w:numPr>
      </w:pPr>
      <w:r>
        <w:t>患者出院非计划再入院率</w:t>
      </w:r>
      <w:r>
        <w:rPr>
          <w:rFonts w:hint="eastAsia"/>
        </w:rPr>
        <w:t>。</w:t>
      </w:r>
    </w:p>
    <w:p>
      <w:pPr>
        <w:pStyle w:val="174"/>
      </w:pPr>
      <w:r>
        <w:t>患者及时复诊率</w:t>
      </w:r>
      <w:r>
        <w:rPr>
          <w:rFonts w:hint="eastAsia"/>
        </w:rPr>
        <w:t>。</w:t>
      </w:r>
    </w:p>
    <w:p>
      <w:pPr>
        <w:pStyle w:val="174"/>
      </w:pPr>
      <w:r>
        <w:t>患者服药依从性</w:t>
      </w:r>
      <w:r>
        <w:rPr>
          <w:rFonts w:hint="eastAsia"/>
        </w:rPr>
        <w:t>。</w:t>
      </w:r>
    </w:p>
    <w:p>
      <w:pPr>
        <w:pStyle w:val="174"/>
      </w:pPr>
      <w:r>
        <w:t>患者随访依从性</w:t>
      </w:r>
      <w:r>
        <w:rPr>
          <w:rFonts w:hint="eastAsia"/>
        </w:rPr>
        <w:t>。</w:t>
      </w:r>
    </w:p>
    <w:p>
      <w:pPr>
        <w:pStyle w:val="174"/>
      </w:pPr>
      <w:r>
        <w:rPr>
          <w:rFonts w:hint="eastAsia"/>
        </w:rPr>
        <w:t>患者</w:t>
      </w:r>
      <w:r>
        <w:t>药物不良反应知晓率</w:t>
      </w:r>
      <w:r>
        <w:rPr>
          <w:rFonts w:hint="eastAsia"/>
        </w:rPr>
        <w:t>。</w:t>
      </w:r>
    </w:p>
    <w:p>
      <w:pPr>
        <w:pStyle w:val="174"/>
      </w:pPr>
      <w:r>
        <w:t>患者满意度</w:t>
      </w:r>
      <w:r>
        <w:rPr>
          <w:rFonts w:hint="eastAsia"/>
        </w:rPr>
        <w:t>。</w:t>
      </w:r>
    </w:p>
    <w:p>
      <w:pPr>
        <w:pStyle w:val="105"/>
        <w:spacing w:before="156" w:after="156"/>
      </w:pPr>
      <w:bookmarkStart w:id="70" w:name="_Toc170201877"/>
      <w:r>
        <w:t>质量控制流程</w:t>
      </w:r>
      <w:bookmarkEnd w:id="70"/>
    </w:p>
    <w:p>
      <w:pPr>
        <w:pStyle w:val="165"/>
        <w:rPr>
          <w:lang w:val="en-GB"/>
        </w:rPr>
      </w:pPr>
      <w:r>
        <w:rPr>
          <w:lang w:val="en-GB"/>
        </w:rPr>
        <w:t>确定质量控制目标和标准</w:t>
      </w:r>
      <w:r>
        <w:rPr>
          <w:rFonts w:hint="eastAsia"/>
          <w:lang w:val="en-GB"/>
        </w:rPr>
        <w:t>，</w:t>
      </w:r>
      <w:r>
        <w:rPr>
          <w:lang w:val="en-GB"/>
        </w:rPr>
        <w:t>分析工作环节，明确质控要求</w:t>
      </w:r>
      <w:r>
        <w:rPr>
          <w:rFonts w:hint="eastAsia"/>
          <w:lang w:val="en-GB"/>
        </w:rPr>
        <w:t>。</w:t>
      </w:r>
    </w:p>
    <w:p>
      <w:pPr>
        <w:pStyle w:val="165"/>
        <w:rPr>
          <w:lang w:val="en-GB"/>
        </w:rPr>
      </w:pPr>
      <w:r>
        <w:rPr>
          <w:lang w:val="en-GB"/>
        </w:rPr>
        <w:t>制定质量控制计划，明确质量控制方法和策略</w:t>
      </w:r>
      <w:r>
        <w:rPr>
          <w:rFonts w:hint="eastAsia"/>
          <w:lang w:val="en-GB"/>
        </w:rPr>
        <w:t>。</w:t>
      </w:r>
    </w:p>
    <w:p>
      <w:pPr>
        <w:pStyle w:val="165"/>
        <w:rPr>
          <w:lang w:val="en-GB"/>
        </w:rPr>
      </w:pPr>
      <w:r>
        <w:rPr>
          <w:lang w:val="en-GB"/>
        </w:rPr>
        <w:t>执行质量控制计划，实施质控管理工作，记录质量结果</w:t>
      </w:r>
      <w:r>
        <w:rPr>
          <w:rFonts w:hint="eastAsia"/>
          <w:lang w:val="en-GB"/>
        </w:rPr>
        <w:t>。</w:t>
      </w:r>
    </w:p>
    <w:p>
      <w:pPr>
        <w:pStyle w:val="165"/>
        <w:rPr>
          <w:lang w:val="en-GB"/>
        </w:rPr>
      </w:pPr>
      <w:r>
        <w:rPr>
          <w:lang w:val="en-GB"/>
        </w:rPr>
        <w:t>分析质量控制结果，书写质量控制分析报告</w:t>
      </w:r>
      <w:r>
        <w:rPr>
          <w:rFonts w:hint="eastAsia"/>
          <w:lang w:val="en-GB"/>
        </w:rPr>
        <w:t>。</w:t>
      </w:r>
    </w:p>
    <w:p>
      <w:pPr>
        <w:pStyle w:val="165"/>
        <w:rPr>
          <w:lang w:val="en-GB"/>
        </w:rPr>
      </w:pPr>
      <w:r>
        <w:rPr>
          <w:lang w:val="en-GB"/>
        </w:rPr>
        <w:t>针对质量控制分析报告结果中的问题，制定改进措施并执行</w:t>
      </w:r>
      <w:r>
        <w:rPr>
          <w:rFonts w:hint="eastAsia"/>
          <w:lang w:val="en-GB"/>
        </w:rPr>
        <w:t>。</w:t>
      </w:r>
    </w:p>
    <w:p>
      <w:pPr>
        <w:pStyle w:val="165"/>
      </w:pPr>
      <w:r>
        <w:rPr>
          <w:lang w:val="en-GB"/>
        </w:rPr>
        <w:t>持续跟踪和监测质量结果的改进数据，确保改进措施的有效性</w:t>
      </w:r>
      <w:r>
        <w:rPr>
          <w:rFonts w:hint="eastAsia"/>
          <w:lang w:val="en-GB"/>
        </w:rPr>
        <w:t>。</w:t>
      </w:r>
    </w:p>
    <w:p>
      <w:pPr>
        <w:pStyle w:val="104"/>
        <w:spacing w:before="312" w:after="312"/>
      </w:pPr>
      <w:bookmarkStart w:id="71" w:name="_Toc170201878"/>
      <w:bookmarkStart w:id="72" w:name="_Toc170288781"/>
      <w:r>
        <w:rPr>
          <w:rFonts w:hint="eastAsia"/>
        </w:rPr>
        <w:t>乳腺癌康复指导</w:t>
      </w:r>
      <w:bookmarkEnd w:id="71"/>
      <w:bookmarkEnd w:id="72"/>
    </w:p>
    <w:p>
      <w:pPr>
        <w:pStyle w:val="105"/>
        <w:spacing w:before="156" w:after="156"/>
      </w:pPr>
      <w:bookmarkStart w:id="73" w:name="_Toc170201879"/>
      <w:r>
        <w:rPr>
          <w:rFonts w:hint="eastAsia"/>
        </w:rPr>
        <w:t>康复指导要求</w:t>
      </w:r>
      <w:bookmarkEnd w:id="73"/>
    </w:p>
    <w:p>
      <w:pPr>
        <w:pStyle w:val="165"/>
        <w:rPr>
          <w:lang w:val="en-GB"/>
        </w:rPr>
      </w:pPr>
      <w:r>
        <w:t>护理人员</w:t>
      </w:r>
      <w:r>
        <w:rPr>
          <w:rFonts w:hint="eastAsia"/>
        </w:rPr>
        <w:t>在进行康复指导前</w:t>
      </w:r>
      <w:r>
        <w:rPr>
          <w:lang w:val="en-GB"/>
        </w:rPr>
        <w:t>应先进行自我介绍，并</w:t>
      </w:r>
      <w:r>
        <w:t>核对</w:t>
      </w:r>
      <w:r>
        <w:rPr>
          <w:lang w:val="en-GB"/>
        </w:rPr>
        <w:t>患者信息</w:t>
      </w:r>
      <w:r>
        <w:rPr>
          <w:rFonts w:hint="eastAsia"/>
          <w:lang w:val="en-GB"/>
        </w:rPr>
        <w:t>。</w:t>
      </w:r>
    </w:p>
    <w:p>
      <w:pPr>
        <w:pStyle w:val="165"/>
        <w:rPr>
          <w:lang w:val="en-GB"/>
        </w:rPr>
      </w:pPr>
      <w:r>
        <w:rPr>
          <w:lang w:val="en-GB"/>
        </w:rPr>
        <w:t>指导患者（或照顾者）获取和查阅</w:t>
      </w:r>
      <w:r>
        <w:t>乳腺</w:t>
      </w:r>
      <w:r>
        <w:rPr>
          <w:lang w:val="en-GB"/>
        </w:rPr>
        <w:t>癌康复指导视频的方法、发放</w:t>
      </w:r>
      <w:r>
        <w:t>乳腺</w:t>
      </w:r>
      <w:r>
        <w:rPr>
          <w:lang w:val="en-GB"/>
        </w:rPr>
        <w:t>癌康复</w:t>
      </w:r>
      <w:r>
        <w:t>健康宣教手册</w:t>
      </w:r>
      <w:r>
        <w:rPr>
          <w:lang w:val="en-GB"/>
        </w:rPr>
        <w:t>给患者（或照顾者）</w:t>
      </w:r>
      <w:r>
        <w:rPr>
          <w:rFonts w:hint="eastAsia"/>
          <w:lang w:val="en-GB"/>
        </w:rPr>
        <w:t>。</w:t>
      </w:r>
    </w:p>
    <w:p>
      <w:pPr>
        <w:pStyle w:val="165"/>
        <w:rPr>
          <w:lang w:val="en-GB"/>
        </w:rPr>
      </w:pPr>
      <w:r>
        <w:rPr>
          <w:lang w:val="en-GB"/>
        </w:rPr>
        <w:t>康复指导后，宜通过开放式问题，评估患者(或照顾者)对于</w:t>
      </w:r>
      <w:r>
        <w:t>康复指导</w:t>
      </w:r>
      <w:r>
        <w:rPr>
          <w:lang w:val="en-GB"/>
        </w:rPr>
        <w:t>的关键内容(如</w:t>
      </w:r>
      <w:r>
        <w:t>上肢功能</w:t>
      </w:r>
      <w:r>
        <w:rPr>
          <w:lang w:val="en-GB"/>
        </w:rPr>
        <w:t>锻炼、</w:t>
      </w:r>
      <w:r>
        <w:t>导管维护、药物不良反应</w:t>
      </w:r>
      <w:r>
        <w:rPr>
          <w:lang w:val="en-GB"/>
        </w:rPr>
        <w:t>)的掌握程度，对其认知不足的部分加以补充，重点指导</w:t>
      </w:r>
      <w:r>
        <w:rPr>
          <w:rFonts w:hint="eastAsia"/>
          <w:lang w:val="en-GB"/>
        </w:rPr>
        <w:t>。</w:t>
      </w:r>
    </w:p>
    <w:p>
      <w:pPr>
        <w:pStyle w:val="165"/>
      </w:pPr>
      <w:r>
        <w:rPr>
          <w:lang w:val="en-GB"/>
        </w:rPr>
        <w:t>康复指导后，询问患者(或其家属)对康复内容有无疑问，并请患者或其家属在服务记录表签字、并进行服务满意度评价</w:t>
      </w:r>
      <w:r>
        <w:rPr>
          <w:rFonts w:hint="eastAsia"/>
          <w:lang w:val="en-GB"/>
        </w:rPr>
        <w:t>。</w:t>
      </w:r>
    </w:p>
    <w:p>
      <w:pPr>
        <w:pStyle w:val="105"/>
        <w:spacing w:before="156" w:after="156"/>
      </w:pPr>
      <w:bookmarkStart w:id="74" w:name="_Toc170201880"/>
      <w:r>
        <w:rPr>
          <w:rFonts w:hint="eastAsia"/>
        </w:rPr>
        <w:t>康复指导形式</w:t>
      </w:r>
      <w:bookmarkEnd w:id="74"/>
    </w:p>
    <w:p>
      <w:pPr>
        <w:pStyle w:val="165"/>
      </w:pPr>
      <w:r>
        <w:rPr>
          <w:rFonts w:hint="eastAsia"/>
        </w:rPr>
        <w:t>应包括线上/线下乳腺癌康复指导及患者自行学习材料。</w:t>
      </w:r>
    </w:p>
    <w:p>
      <w:pPr>
        <w:pStyle w:val="165"/>
      </w:pPr>
      <w:r>
        <w:rPr>
          <w:rFonts w:hint="eastAsia"/>
        </w:rPr>
        <w:t>自行学习材料包括但限于乳腺癌康复指导视频或健康宣教手册。医疗机构宜用信息化手段将乳腺癌康复视频或电子版乳腺癌健康宣教科普视频、科普讲座推送给向患者（或照顾者）。</w:t>
      </w:r>
    </w:p>
    <w:p>
      <w:pPr>
        <w:pStyle w:val="105"/>
        <w:spacing w:before="156" w:after="156"/>
      </w:pPr>
      <w:bookmarkStart w:id="75" w:name="_Toc170201881"/>
      <w:r>
        <w:rPr>
          <w:rFonts w:hint="eastAsia"/>
        </w:rPr>
        <w:t>康复指导内容</w:t>
      </w:r>
      <w:bookmarkEnd w:id="75"/>
    </w:p>
    <w:p>
      <w:pPr>
        <w:pStyle w:val="56"/>
        <w:ind w:firstLine="420"/>
      </w:pPr>
      <w:r>
        <w:t>各级医疗机构应明确乳腺癌患者康复指导基本内容，包括但不限于以下项目</w:t>
      </w:r>
      <w:r>
        <w:rPr>
          <w:rFonts w:hint="eastAsia"/>
        </w:rPr>
        <w:t>：</w:t>
      </w:r>
    </w:p>
    <w:p>
      <w:pPr>
        <w:pStyle w:val="174"/>
        <w:numPr>
          <w:ilvl w:val="0"/>
          <w:numId w:val="34"/>
        </w:numPr>
      </w:pPr>
      <w:r>
        <w:t>患者</w:t>
      </w:r>
      <w:r>
        <w:rPr>
          <w:rFonts w:hint="eastAsia"/>
        </w:rPr>
        <w:t>健康状态指导</w:t>
      </w:r>
      <w:r>
        <w:t>，包括饮食、睡眠、情绪、体重等</w:t>
      </w:r>
      <w:r>
        <w:rPr>
          <w:rFonts w:hint="eastAsia"/>
        </w:rPr>
        <w:t>。</w:t>
      </w:r>
    </w:p>
    <w:p>
      <w:pPr>
        <w:pStyle w:val="174"/>
      </w:pPr>
      <w:r>
        <w:t>患者</w:t>
      </w:r>
      <w:r>
        <w:rPr>
          <w:rFonts w:hint="eastAsia"/>
        </w:rPr>
        <w:t>用药指导</w:t>
      </w:r>
      <w:r>
        <w:t>，包括</w:t>
      </w:r>
      <w:r>
        <w:rPr>
          <w:rFonts w:hint="eastAsia"/>
        </w:rPr>
        <w:t>用药方法、储存方法、废弃药品处理、药物不良反应等。</w:t>
      </w:r>
    </w:p>
    <w:p>
      <w:pPr>
        <w:pStyle w:val="174"/>
      </w:pPr>
      <w:r>
        <w:t>导管维护</w:t>
      </w:r>
      <w:r>
        <w:rPr>
          <w:rFonts w:hint="eastAsia"/>
        </w:rPr>
        <w:t>指导</w:t>
      </w:r>
      <w:r>
        <w:t>，包括引流管、PICC、输液港</w:t>
      </w:r>
      <w:r>
        <w:rPr>
          <w:rFonts w:hint="eastAsia"/>
        </w:rPr>
        <w:t>等。</w:t>
      </w:r>
    </w:p>
    <w:p>
      <w:pPr>
        <w:pStyle w:val="174"/>
      </w:pPr>
      <w:r>
        <w:rPr>
          <w:rFonts w:hint="eastAsia"/>
        </w:rPr>
        <w:t>功能锻炼指导</w:t>
      </w:r>
      <w:r>
        <w:t>，如上肢功能锻炼、淋巴水肿预防、运动锻炼等</w:t>
      </w:r>
      <w:r>
        <w:rPr>
          <w:rFonts w:hint="eastAsia"/>
        </w:rPr>
        <w:t>。</w:t>
      </w:r>
    </w:p>
    <w:p>
      <w:pPr>
        <w:pStyle w:val="174"/>
      </w:pPr>
      <w:r>
        <w:t>患者形体管理指导，包括乳房重建术后健康指导、义乳选择与佩戴等</w:t>
      </w:r>
      <w:r>
        <w:rPr>
          <w:rFonts w:hint="eastAsia"/>
        </w:rPr>
        <w:t>。</w:t>
      </w:r>
    </w:p>
    <w:p>
      <w:pPr>
        <w:pStyle w:val="174"/>
      </w:pPr>
      <w:r>
        <w:t>患者</w:t>
      </w:r>
      <w:r>
        <w:rPr>
          <w:rFonts w:hint="eastAsia"/>
        </w:rPr>
        <w:t>症状指导</w:t>
      </w:r>
      <w:r>
        <w:t>，包括</w:t>
      </w:r>
      <w:r>
        <w:rPr>
          <w:rFonts w:hint="eastAsia"/>
        </w:rPr>
        <w:t>皮肤护理，如</w:t>
      </w:r>
      <w:r>
        <w:t>皮肤疤痕处理、色素沉着、皮肤放射性损伤预防及处理等</w:t>
      </w:r>
      <w:r>
        <w:rPr>
          <w:rFonts w:hint="eastAsia"/>
        </w:rPr>
        <w:t>。</w:t>
      </w:r>
    </w:p>
    <w:p>
      <w:pPr>
        <w:pStyle w:val="174"/>
      </w:pPr>
      <w:r>
        <w:t>治疗副反应指导，如骨髓抑制、消化道反应、外周神经病变、心脏毒性，血脂异常、骨质疏松等</w:t>
      </w:r>
      <w:r>
        <w:rPr>
          <w:rFonts w:hint="eastAsia"/>
        </w:rPr>
        <w:t>。</w:t>
      </w:r>
    </w:p>
    <w:p>
      <w:pPr>
        <w:pStyle w:val="174"/>
      </w:pPr>
      <w:r>
        <w:t>检查项目指导，包括血液指标、心电图、B超、钼靶、CT检查等</w:t>
      </w:r>
      <w:r>
        <w:rPr>
          <w:rFonts w:hint="eastAsia"/>
        </w:rPr>
        <w:t>。</w:t>
      </w:r>
    </w:p>
    <w:p>
      <w:pPr>
        <w:pStyle w:val="174"/>
      </w:pPr>
      <w:r>
        <w:t>心理社会功能指导，包括心理痛苦筛查与评估、负性情绪疏导</w:t>
      </w:r>
      <w:r>
        <w:rPr>
          <w:rFonts w:hint="eastAsia"/>
        </w:rPr>
        <w:t>、</w:t>
      </w:r>
      <w:r>
        <w:t>重返工作、参与社会活动、人际交流活动</w:t>
      </w:r>
      <w:r>
        <w:rPr>
          <w:rFonts w:hint="eastAsia"/>
        </w:rPr>
        <w:t>等。</w:t>
      </w:r>
    </w:p>
    <w:p>
      <w:pPr>
        <w:pStyle w:val="174"/>
      </w:pPr>
      <w:r>
        <w:t>临终关怀指导，包括</w:t>
      </w:r>
      <w:r>
        <w:rPr>
          <w:rFonts w:hint="eastAsia"/>
        </w:rPr>
        <w:t>疼痛管理、舒适照护、</w:t>
      </w:r>
      <w:r>
        <w:t>营养支持、心理</w:t>
      </w:r>
      <w:r>
        <w:rPr>
          <w:rFonts w:hint="eastAsia"/>
        </w:rPr>
        <w:t>支持等。</w:t>
      </w:r>
    </w:p>
    <w:p>
      <w:pPr>
        <w:pStyle w:val="105"/>
        <w:spacing w:before="156" w:after="156"/>
      </w:pPr>
      <w:bookmarkStart w:id="76" w:name="_Toc170201882"/>
      <w:r>
        <w:rPr>
          <w:rFonts w:hint="eastAsia"/>
        </w:rPr>
        <w:t>各阶段健康教育内容</w:t>
      </w:r>
      <w:bookmarkEnd w:id="76"/>
    </w:p>
    <w:p>
      <w:pPr>
        <w:pStyle w:val="56"/>
        <w:ind w:firstLine="420"/>
        <w:rPr>
          <w:rFonts w:ascii="Times New Roman"/>
          <w:kern w:val="44"/>
          <w:szCs w:val="21"/>
        </w:rPr>
      </w:pPr>
      <w:r>
        <w:rPr>
          <w:rFonts w:ascii="Times New Roman"/>
          <w:szCs w:val="21"/>
        </w:rPr>
        <w:t>各级医疗机构</w:t>
      </w:r>
      <w:r>
        <w:rPr>
          <w:rFonts w:ascii="Times New Roman"/>
          <w:kern w:val="44"/>
          <w:szCs w:val="21"/>
        </w:rPr>
        <w:t>宜根据乳腺癌各阶段健康教育内容进行康复指导</w:t>
      </w:r>
      <w:r>
        <w:rPr>
          <w:rFonts w:hint="eastAsia" w:ascii="Times New Roman"/>
          <w:kern w:val="44"/>
          <w:szCs w:val="21"/>
        </w:rPr>
        <w:t>。</w:t>
      </w:r>
    </w:p>
    <w:p>
      <w:pPr>
        <w:pStyle w:val="56"/>
        <w:ind w:firstLine="420"/>
        <w:rPr>
          <w:rFonts w:ascii="Times New Roman"/>
          <w:kern w:val="44"/>
          <w:szCs w:val="21"/>
        </w:rPr>
      </w:pPr>
    </w:p>
    <w:p>
      <w:pPr>
        <w:pStyle w:val="56"/>
        <w:ind w:firstLine="0" w:firstLineChars="0"/>
        <w:sectPr>
          <w:pgSz w:w="11906" w:h="16838"/>
          <w:pgMar w:top="2410" w:right="1134" w:bottom="1134" w:left="1134" w:header="1418" w:footer="1134" w:gutter="284"/>
          <w:pgNumType w:start="1"/>
          <w:cols w:space="425" w:num="1"/>
          <w:formProt w:val="0"/>
          <w:docGrid w:type="lines" w:linePitch="312" w:charSpace="0"/>
        </w:sectPr>
      </w:pPr>
    </w:p>
    <w:bookmarkEnd w:id="23"/>
    <w:p>
      <w:pPr>
        <w:pStyle w:val="198"/>
        <w:rPr>
          <w:vanish w:val="0"/>
        </w:rPr>
      </w:pPr>
      <w:bookmarkStart w:id="77" w:name="BookMark5"/>
    </w:p>
    <w:p>
      <w:pPr>
        <w:pStyle w:val="199"/>
        <w:rPr>
          <w:vanish w:val="0"/>
        </w:rPr>
      </w:pPr>
    </w:p>
    <w:p>
      <w:pPr>
        <w:pStyle w:val="76"/>
        <w:spacing w:before="78" w:after="156"/>
        <w:ind w:left="0"/>
      </w:pPr>
      <w:r>
        <w:br w:type="textWrapping"/>
      </w:r>
      <w:bookmarkStart w:id="78" w:name="_Toc170288782"/>
      <w:r>
        <w:rPr>
          <w:rFonts w:hint="eastAsia"/>
        </w:rPr>
        <w:t>（规范性）</w:t>
      </w:r>
      <w:r>
        <w:br w:type="textWrapping"/>
      </w:r>
      <w:r>
        <w:rPr>
          <w:rFonts w:hint="eastAsia"/>
        </w:rPr>
        <w:t>乳腺癌患者随访流程</w:t>
      </w:r>
      <w:bookmarkEnd w:id="78"/>
    </w:p>
    <w:p>
      <w:pPr>
        <w:pStyle w:val="56"/>
        <w:ind w:firstLine="420"/>
        <w:jc w:val="center"/>
        <w:rPr>
          <w:rFonts w:ascii="Times New Roman" w:eastAsia="黑体"/>
          <w:szCs w:val="21"/>
        </w:rPr>
      </w:pPr>
      <w:r>
        <w:rPr>
          <w:rFonts w:ascii="Times New Roman" w:eastAsia="黑体"/>
          <w:szCs w:val="21"/>
        </w:rPr>
        <w:object>
          <v:shape id="_x0000_i1026" o:spt="75" type="#_x0000_t75" style="height:398.65pt;width:240.65pt;" o:ole="t" filled="f" o:preferrelative="t" stroked="f" coordsize="21600,21600">
            <v:path/>
            <v:fill on="f" focussize="0,0"/>
            <v:stroke on="f" joinstyle="miter"/>
            <v:imagedata r:id="rId19" o:title=""/>
            <o:lock v:ext="edit" aspectratio="f"/>
            <w10:wrap type="none"/>
            <w10:anchorlock/>
          </v:shape>
          <o:OLEObject Type="Embed" ProgID="Visio.Drawing.15" ShapeID="_x0000_i1026" DrawAspect="Content" ObjectID="_1468075726" r:id="rId18">
            <o:LockedField>false</o:LockedField>
          </o:OLEObject>
        </w:object>
      </w:r>
    </w:p>
    <w:p>
      <w:pPr>
        <w:pStyle w:val="56"/>
        <w:ind w:firstLine="420"/>
        <w:jc w:val="center"/>
        <w:rPr>
          <w:rFonts w:ascii="Times New Roman" w:eastAsia="黑体"/>
          <w:szCs w:val="21"/>
        </w:rPr>
      </w:pPr>
    </w:p>
    <w:p>
      <w:pPr>
        <w:pStyle w:val="56"/>
        <w:ind w:firstLine="420"/>
        <w:jc w:val="center"/>
        <w:rPr>
          <w:rFonts w:ascii="Times New Roman" w:eastAsia="黑体"/>
          <w:szCs w:val="21"/>
        </w:rPr>
      </w:pPr>
    </w:p>
    <w:p>
      <w:pPr>
        <w:pStyle w:val="56"/>
        <w:ind w:firstLine="420"/>
        <w:jc w:val="center"/>
        <w:rPr>
          <w:rFonts w:ascii="Times New Roman" w:eastAsia="黑体"/>
          <w:szCs w:val="21"/>
        </w:rPr>
      </w:pPr>
    </w:p>
    <w:p>
      <w:pPr>
        <w:pStyle w:val="56"/>
        <w:ind w:firstLine="420"/>
        <w:jc w:val="center"/>
        <w:rPr>
          <w:rFonts w:ascii="Times New Roman" w:eastAsia="黑体"/>
          <w:szCs w:val="21"/>
        </w:rPr>
      </w:pPr>
    </w:p>
    <w:p>
      <w:pPr>
        <w:pStyle w:val="56"/>
        <w:ind w:firstLine="420"/>
        <w:jc w:val="center"/>
        <w:rPr>
          <w:rFonts w:ascii="Times New Roman" w:eastAsia="黑体"/>
          <w:szCs w:val="21"/>
        </w:rPr>
      </w:pPr>
    </w:p>
    <w:p>
      <w:pPr>
        <w:pStyle w:val="56"/>
        <w:ind w:firstLine="420"/>
        <w:jc w:val="center"/>
        <w:rPr>
          <w:rFonts w:ascii="Times New Roman" w:eastAsia="黑体"/>
          <w:szCs w:val="21"/>
        </w:rPr>
      </w:pPr>
    </w:p>
    <w:p>
      <w:pPr>
        <w:pStyle w:val="56"/>
        <w:ind w:firstLine="420"/>
        <w:jc w:val="center"/>
        <w:rPr>
          <w:rFonts w:ascii="Times New Roman" w:eastAsia="黑体"/>
          <w:szCs w:val="21"/>
        </w:rPr>
      </w:pPr>
    </w:p>
    <w:p>
      <w:pPr>
        <w:pStyle w:val="56"/>
        <w:ind w:firstLine="420"/>
        <w:jc w:val="center"/>
        <w:rPr>
          <w:rFonts w:ascii="Times New Roman" w:eastAsia="黑体"/>
          <w:szCs w:val="21"/>
        </w:rPr>
      </w:pPr>
    </w:p>
    <w:p>
      <w:pPr>
        <w:pStyle w:val="56"/>
        <w:ind w:firstLine="420"/>
        <w:jc w:val="center"/>
        <w:rPr>
          <w:rFonts w:ascii="Times New Roman" w:eastAsia="黑体"/>
          <w:szCs w:val="21"/>
        </w:rPr>
      </w:pPr>
    </w:p>
    <w:p>
      <w:pPr>
        <w:pStyle w:val="56"/>
        <w:ind w:firstLine="420"/>
        <w:jc w:val="center"/>
        <w:rPr>
          <w:rFonts w:ascii="Times New Roman" w:eastAsia="黑体"/>
          <w:szCs w:val="21"/>
        </w:rPr>
      </w:pPr>
    </w:p>
    <w:p>
      <w:pPr>
        <w:pStyle w:val="56"/>
        <w:ind w:firstLine="420"/>
        <w:jc w:val="center"/>
        <w:rPr>
          <w:rFonts w:ascii="Times New Roman" w:eastAsia="黑体"/>
          <w:szCs w:val="21"/>
        </w:rPr>
      </w:pPr>
    </w:p>
    <w:p>
      <w:pPr>
        <w:pStyle w:val="56"/>
        <w:ind w:firstLine="420"/>
        <w:jc w:val="center"/>
        <w:rPr>
          <w:rFonts w:ascii="Times New Roman" w:eastAsia="黑体"/>
          <w:szCs w:val="21"/>
        </w:rPr>
      </w:pPr>
    </w:p>
    <w:p>
      <w:pPr>
        <w:pStyle w:val="56"/>
        <w:ind w:firstLine="0" w:firstLineChars="0"/>
        <w:sectPr>
          <w:pgSz w:w="11906" w:h="16838"/>
          <w:pgMar w:top="2410"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tabs>
          <w:tab w:val="clear" w:pos="6406"/>
        </w:tabs>
        <w:spacing w:before="78" w:after="156"/>
        <w:ind w:left="0"/>
      </w:pPr>
      <w:r>
        <w:br w:type="textWrapping"/>
      </w:r>
      <w:bookmarkStart w:id="79" w:name="_Toc170288783"/>
      <w:r>
        <w:rPr>
          <w:rFonts w:hint="eastAsia"/>
        </w:rPr>
        <w:t>（规范性）</w:t>
      </w:r>
      <w:r>
        <w:br w:type="textWrapping"/>
      </w:r>
      <w:r>
        <w:rPr>
          <w:rFonts w:hint="eastAsia"/>
        </w:rPr>
        <w:t>乳腺癌患者随访登记表</w:t>
      </w:r>
      <w:bookmarkEnd w:id="79"/>
    </w:p>
    <w:tbl>
      <w:tblPr>
        <w:tblStyle w:val="27"/>
        <w:tblW w:w="4967" w:type="pct"/>
        <w:tblInd w:w="0" w:type="dxa"/>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487"/>
        <w:gridCol w:w="702"/>
        <w:gridCol w:w="494"/>
        <w:gridCol w:w="645"/>
        <w:gridCol w:w="494"/>
        <w:gridCol w:w="664"/>
        <w:gridCol w:w="327"/>
        <w:gridCol w:w="1266"/>
        <w:gridCol w:w="48"/>
        <w:gridCol w:w="1067"/>
        <w:gridCol w:w="496"/>
        <w:gridCol w:w="736"/>
        <w:gridCol w:w="319"/>
        <w:gridCol w:w="614"/>
      </w:tblGrid>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15"/>
            <w:tcBorders>
              <w:top w:val="single" w:color="auto" w:sz="4" w:space="0"/>
              <w:left w:val="single" w:color="auto" w:sz="4" w:space="0"/>
              <w:bottom w:val="single" w:color="auto" w:sz="4" w:space="0"/>
              <w:right w:val="single" w:color="auto" w:sz="4" w:space="0"/>
            </w:tcBorders>
          </w:tcPr>
          <w:p>
            <w:pPr>
              <w:snapToGrid w:val="0"/>
              <w:spacing w:line="300" w:lineRule="exact"/>
              <w:jc w:val="left"/>
              <w:rPr>
                <w:rFonts w:ascii="Times New Roman" w:hAnsi="Times New Roman"/>
                <w:sz w:val="18"/>
                <w:szCs w:val="18"/>
                <w:lang w:val="en-GB"/>
              </w:rPr>
            </w:pPr>
            <w:r>
              <w:rPr>
                <w:rFonts w:ascii="Times New Roman" w:hAnsi="Times New Roman"/>
                <w:sz w:val="18"/>
                <w:szCs w:val="18"/>
              </w:rPr>
              <w:t>一、</w:t>
            </w:r>
            <w:r>
              <w:rPr>
                <w:rFonts w:ascii="Times New Roman" w:hAnsi="Times New Roman"/>
                <w:sz w:val="18"/>
                <w:szCs w:val="18"/>
                <w:lang w:val="en-GB"/>
              </w:rPr>
              <w:t>基本信息</w:t>
            </w: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4" w:type="pct"/>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u w:val="single"/>
                <w:lang w:val="en-GB"/>
              </w:rPr>
            </w:pPr>
            <w:r>
              <w:rPr>
                <w:rFonts w:ascii="Times New Roman" w:hAnsi="Times New Roman"/>
                <w:sz w:val="18"/>
                <w:szCs w:val="18"/>
                <w:lang w:val="en-GB"/>
              </w:rPr>
              <w:t>姓名</w:t>
            </w:r>
          </w:p>
        </w:tc>
        <w:tc>
          <w:tcPr>
            <w:tcW w:w="885" w:type="pct"/>
            <w:gridSpan w:val="3"/>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599"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u w:val="single"/>
                <w:lang w:val="en-GB"/>
              </w:rPr>
            </w:pPr>
            <w:r>
              <w:rPr>
                <w:rFonts w:ascii="Times New Roman" w:hAnsi="Times New Roman"/>
                <w:sz w:val="18"/>
                <w:szCs w:val="18"/>
                <w:lang w:val="en-GB"/>
              </w:rPr>
              <w:t>性别</w:t>
            </w:r>
          </w:p>
        </w:tc>
        <w:tc>
          <w:tcPr>
            <w:tcW w:w="1187" w:type="pct"/>
            <w:gridSpan w:val="3"/>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586"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u w:val="single"/>
                <w:lang w:val="en-GB"/>
              </w:rPr>
            </w:pPr>
            <w:r>
              <w:rPr>
                <w:rFonts w:ascii="Times New Roman" w:hAnsi="Times New Roman"/>
                <w:sz w:val="18"/>
                <w:szCs w:val="18"/>
                <w:lang w:val="en-GB"/>
              </w:rPr>
              <w:t>年龄</w:t>
            </w:r>
          </w:p>
        </w:tc>
        <w:tc>
          <w:tcPr>
            <w:tcW w:w="1138" w:type="pct"/>
            <w:gridSpan w:val="4"/>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4" w:type="pct"/>
            <w:tcBorders>
              <w:top w:val="single" w:color="auto" w:sz="4" w:space="0"/>
              <w:left w:val="single" w:color="auto" w:sz="4" w:space="0"/>
              <w:bottom w:val="single" w:color="auto" w:sz="4" w:space="0"/>
              <w:right w:val="single" w:color="auto" w:sz="4" w:space="0"/>
            </w:tcBorders>
          </w:tcPr>
          <w:p>
            <w:pPr>
              <w:snapToGrid w:val="0"/>
              <w:spacing w:line="300" w:lineRule="exact"/>
              <w:jc w:val="left"/>
              <w:rPr>
                <w:rFonts w:ascii="Times New Roman" w:hAnsi="Times New Roman"/>
                <w:sz w:val="18"/>
                <w:szCs w:val="18"/>
                <w:lang w:val="en-GB"/>
              </w:rPr>
            </w:pPr>
            <w:r>
              <w:rPr>
                <w:rFonts w:ascii="Times New Roman" w:hAnsi="Times New Roman"/>
                <w:sz w:val="18"/>
                <w:szCs w:val="18"/>
                <w:lang w:val="en-GB"/>
              </w:rPr>
              <w:t>联系电话</w:t>
            </w:r>
          </w:p>
        </w:tc>
        <w:tc>
          <w:tcPr>
            <w:tcW w:w="885" w:type="pct"/>
            <w:gridSpan w:val="3"/>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599"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r>
              <w:rPr>
                <w:rFonts w:ascii="Times New Roman" w:hAnsi="Times New Roman"/>
                <w:sz w:val="18"/>
                <w:szCs w:val="18"/>
              </w:rPr>
              <w:t>住院号</w:t>
            </w:r>
          </w:p>
        </w:tc>
        <w:tc>
          <w:tcPr>
            <w:tcW w:w="1187" w:type="pct"/>
            <w:gridSpan w:val="3"/>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586"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r>
              <w:rPr>
                <w:rFonts w:hint="eastAsia" w:ascii="Times New Roman" w:hAnsi="Times New Roman"/>
                <w:sz w:val="18"/>
                <w:szCs w:val="18"/>
              </w:rPr>
              <w:t>BMI指数</w:t>
            </w:r>
            <w:r>
              <w:rPr>
                <w:rFonts w:ascii="Times New Roman" w:hAnsi="Times New Roman"/>
                <w:sz w:val="18"/>
                <w:szCs w:val="18"/>
                <w:lang w:val="en-GB"/>
              </w:rPr>
              <w:t xml:space="preserve"> </w:t>
            </w:r>
          </w:p>
        </w:tc>
        <w:tc>
          <w:tcPr>
            <w:tcW w:w="1138" w:type="pct"/>
            <w:gridSpan w:val="4"/>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4" w:type="pct"/>
            <w:tcBorders>
              <w:top w:val="single" w:color="auto" w:sz="4" w:space="0"/>
              <w:left w:val="single" w:color="auto" w:sz="4" w:space="0"/>
              <w:bottom w:val="single" w:color="auto" w:sz="4" w:space="0"/>
              <w:right w:val="single" w:color="auto" w:sz="4" w:space="0"/>
            </w:tcBorders>
          </w:tcPr>
          <w:p>
            <w:pPr>
              <w:snapToGrid w:val="0"/>
              <w:spacing w:line="300" w:lineRule="exact"/>
              <w:jc w:val="left"/>
              <w:rPr>
                <w:rFonts w:ascii="Times New Roman" w:hAnsi="Times New Roman"/>
                <w:sz w:val="18"/>
                <w:szCs w:val="18"/>
                <w:u w:val="single"/>
              </w:rPr>
            </w:pPr>
            <w:r>
              <w:rPr>
                <w:rFonts w:ascii="Times New Roman" w:hAnsi="Times New Roman"/>
                <w:sz w:val="18"/>
                <w:szCs w:val="18"/>
              </w:rPr>
              <w:t>手术方式</w:t>
            </w:r>
          </w:p>
        </w:tc>
        <w:tc>
          <w:tcPr>
            <w:tcW w:w="885" w:type="pct"/>
            <w:gridSpan w:val="3"/>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u w:val="single"/>
                <w:lang w:val="en-GB"/>
              </w:rPr>
            </w:pPr>
          </w:p>
        </w:tc>
        <w:tc>
          <w:tcPr>
            <w:tcW w:w="599"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u w:val="single"/>
              </w:rPr>
            </w:pPr>
            <w:r>
              <w:rPr>
                <w:rFonts w:ascii="Times New Roman" w:hAnsi="Times New Roman"/>
                <w:sz w:val="18"/>
                <w:szCs w:val="18"/>
                <w:lang w:val="en-GB"/>
              </w:rPr>
              <w:t>临床分期</w:t>
            </w:r>
          </w:p>
        </w:tc>
        <w:tc>
          <w:tcPr>
            <w:tcW w:w="521"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666" w:type="pct"/>
            <w:tcBorders>
              <w:top w:val="single" w:color="auto" w:sz="4" w:space="0"/>
              <w:left w:val="single" w:color="auto" w:sz="4" w:space="0"/>
              <w:bottom w:val="single" w:color="auto" w:sz="4" w:space="0"/>
              <w:right w:val="single" w:color="auto" w:sz="4" w:space="0"/>
            </w:tcBorders>
          </w:tcPr>
          <w:p>
            <w:pPr>
              <w:snapToGrid w:val="0"/>
              <w:spacing w:line="300" w:lineRule="exact"/>
              <w:ind w:right="-105" w:rightChars="-50"/>
              <w:rPr>
                <w:rFonts w:ascii="Times New Roman" w:hAnsi="Times New Roman"/>
                <w:sz w:val="18"/>
                <w:szCs w:val="18"/>
              </w:rPr>
            </w:pPr>
            <w:r>
              <w:rPr>
                <w:rFonts w:ascii="Times New Roman" w:hAnsi="Times New Roman"/>
                <w:sz w:val="18"/>
                <w:szCs w:val="18"/>
              </w:rPr>
              <w:t>病理分型</w:t>
            </w:r>
          </w:p>
        </w:tc>
        <w:tc>
          <w:tcPr>
            <w:tcW w:w="586"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648"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rPr>
            </w:pPr>
            <w:r>
              <w:rPr>
                <w:rFonts w:ascii="Times New Roman" w:hAnsi="Times New Roman"/>
                <w:sz w:val="18"/>
                <w:szCs w:val="18"/>
              </w:rPr>
              <w:t>是否绝经</w:t>
            </w:r>
          </w:p>
        </w:tc>
        <w:tc>
          <w:tcPr>
            <w:tcW w:w="490"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4" w:type="pct"/>
            <w:tcBorders>
              <w:top w:val="single" w:color="auto" w:sz="4" w:space="0"/>
              <w:left w:val="single" w:color="auto" w:sz="4" w:space="0"/>
              <w:bottom w:val="single" w:color="auto" w:sz="4" w:space="0"/>
              <w:right w:val="single" w:color="auto" w:sz="4" w:space="0"/>
            </w:tcBorders>
          </w:tcPr>
          <w:p>
            <w:pPr>
              <w:snapToGrid w:val="0"/>
              <w:spacing w:line="300" w:lineRule="exact"/>
              <w:jc w:val="left"/>
              <w:rPr>
                <w:rFonts w:ascii="Times New Roman" w:hAnsi="Times New Roman"/>
                <w:sz w:val="18"/>
                <w:szCs w:val="18"/>
                <w:u w:val="single"/>
                <w:lang w:val="en-GB"/>
              </w:rPr>
            </w:pPr>
            <w:r>
              <w:rPr>
                <w:rFonts w:ascii="Times New Roman" w:hAnsi="Times New Roman"/>
                <w:sz w:val="18"/>
                <w:szCs w:val="18"/>
                <w:lang w:val="en-GB"/>
              </w:rPr>
              <w:t>随访时间</w:t>
            </w:r>
          </w:p>
        </w:tc>
        <w:tc>
          <w:tcPr>
            <w:tcW w:w="625"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599"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u w:val="single"/>
                <w:lang w:val="en-GB"/>
              </w:rPr>
            </w:pPr>
            <w:r>
              <w:rPr>
                <w:rFonts w:ascii="Times New Roman" w:hAnsi="Times New Roman"/>
                <w:sz w:val="18"/>
                <w:szCs w:val="18"/>
                <w:lang w:val="en-GB"/>
              </w:rPr>
              <w:t>随访次数</w:t>
            </w:r>
          </w:p>
        </w:tc>
        <w:tc>
          <w:tcPr>
            <w:tcW w:w="781" w:type="pct"/>
            <w:gridSpan w:val="3"/>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u w:val="single"/>
                <w:lang w:val="en-GB"/>
              </w:rPr>
            </w:pPr>
          </w:p>
        </w:tc>
        <w:tc>
          <w:tcPr>
            <w:tcW w:w="666" w:type="pct"/>
            <w:tcBorders>
              <w:top w:val="single" w:color="auto" w:sz="4" w:space="0"/>
              <w:left w:val="single" w:color="auto" w:sz="4" w:space="0"/>
              <w:bottom w:val="single" w:color="auto" w:sz="4" w:space="0"/>
              <w:right w:val="single" w:color="auto" w:sz="4" w:space="0"/>
            </w:tcBorders>
          </w:tcPr>
          <w:p>
            <w:pPr>
              <w:snapToGrid w:val="0"/>
              <w:spacing w:line="300" w:lineRule="exact"/>
              <w:ind w:right="-105" w:rightChars="-50"/>
              <w:rPr>
                <w:rFonts w:ascii="Times New Roman" w:hAnsi="Times New Roman"/>
                <w:sz w:val="18"/>
                <w:szCs w:val="18"/>
                <w:u w:val="single"/>
              </w:rPr>
            </w:pPr>
            <w:r>
              <w:rPr>
                <w:rFonts w:ascii="Times New Roman" w:hAnsi="Times New Roman"/>
                <w:sz w:val="18"/>
                <w:szCs w:val="18"/>
                <w:lang w:val="en-GB"/>
              </w:rPr>
              <w:t>随访</w:t>
            </w:r>
            <w:r>
              <w:rPr>
                <w:rFonts w:hint="eastAsia" w:ascii="Times New Roman" w:hAnsi="Times New Roman"/>
                <w:sz w:val="18"/>
                <w:szCs w:val="18"/>
              </w:rPr>
              <w:t>者</w:t>
            </w:r>
          </w:p>
        </w:tc>
        <w:tc>
          <w:tcPr>
            <w:tcW w:w="586"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648"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r>
              <w:rPr>
                <w:rFonts w:ascii="Times New Roman" w:hAnsi="Times New Roman"/>
                <w:sz w:val="18"/>
                <w:szCs w:val="18"/>
                <w:lang w:val="en-GB"/>
              </w:rPr>
              <w:t>随访方式</w:t>
            </w:r>
          </w:p>
        </w:tc>
        <w:tc>
          <w:tcPr>
            <w:tcW w:w="490"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u w:val="single"/>
                <w:lang w:val="en-GB"/>
              </w:rPr>
            </w:pP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15"/>
            <w:tcBorders>
              <w:top w:val="single" w:color="auto" w:sz="4" w:space="0"/>
              <w:left w:val="single" w:color="auto" w:sz="4" w:space="0"/>
              <w:bottom w:val="single" w:color="auto" w:sz="4" w:space="0"/>
              <w:right w:val="single" w:color="auto" w:sz="4" w:space="0"/>
            </w:tcBorders>
          </w:tcPr>
          <w:p>
            <w:pPr>
              <w:snapToGrid w:val="0"/>
              <w:spacing w:line="300" w:lineRule="exact"/>
              <w:jc w:val="left"/>
              <w:rPr>
                <w:rFonts w:ascii="Times New Roman" w:hAnsi="Times New Roman"/>
                <w:sz w:val="18"/>
                <w:szCs w:val="18"/>
                <w:u w:val="single"/>
                <w:lang w:val="en-GB"/>
              </w:rPr>
            </w:pPr>
            <w:r>
              <w:rPr>
                <w:rFonts w:ascii="Times New Roman" w:hAnsi="Times New Roman"/>
                <w:sz w:val="18"/>
                <w:szCs w:val="18"/>
              </w:rPr>
              <w:t>二、诊疗信息</w:t>
            </w: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0" w:type="pct"/>
            <w:gridSpan w:val="2"/>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sz w:val="18"/>
                <w:szCs w:val="18"/>
                <w:lang w:val="en-GB"/>
              </w:rPr>
            </w:pPr>
            <w:r>
              <w:rPr>
                <w:rFonts w:ascii="Times New Roman" w:hAnsi="Times New Roman"/>
                <w:sz w:val="18"/>
                <w:szCs w:val="18"/>
                <w:lang w:val="en-GB"/>
              </w:rPr>
              <w:t>1.患者治疗</w:t>
            </w:r>
          </w:p>
          <w:p>
            <w:pPr>
              <w:snapToGrid w:val="0"/>
              <w:spacing w:line="300" w:lineRule="exact"/>
              <w:jc w:val="center"/>
              <w:rPr>
                <w:rFonts w:ascii="Times New Roman" w:hAnsi="Times New Roman"/>
                <w:sz w:val="18"/>
                <w:szCs w:val="18"/>
                <w:lang w:val="en-GB"/>
              </w:rPr>
            </w:pPr>
            <w:r>
              <w:rPr>
                <w:rFonts w:ascii="Times New Roman" w:hAnsi="Times New Roman"/>
                <w:sz w:val="18"/>
                <w:szCs w:val="18"/>
                <w:lang w:val="en-GB"/>
              </w:rPr>
              <w:t>阶段</w:t>
            </w:r>
          </w:p>
        </w:tc>
        <w:tc>
          <w:tcPr>
            <w:tcW w:w="4140" w:type="pct"/>
            <w:gridSpan w:val="13"/>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rPr>
            </w:pPr>
            <w:r>
              <w:rPr>
                <w:rFonts w:ascii="Times New Roman" w:hAnsi="Times New Roman" w:eastAsia="MS Mincho"/>
                <w:sz w:val="18"/>
                <w:szCs w:val="18"/>
                <w:lang w:val="en-GB"/>
              </w:rPr>
              <w:t>◯</w:t>
            </w:r>
            <w:r>
              <w:rPr>
                <w:rFonts w:ascii="Times New Roman" w:hAnsi="Times New Roman"/>
                <w:sz w:val="18"/>
                <w:szCs w:val="18"/>
                <w:lang w:val="en-GB"/>
              </w:rPr>
              <w:t xml:space="preserve">手术（准备期/恢复期）  </w:t>
            </w:r>
            <w:r>
              <w:rPr>
                <w:rFonts w:ascii="Times New Roman" w:hAnsi="Times New Roman"/>
                <w:sz w:val="18"/>
                <w:szCs w:val="18"/>
              </w:rPr>
              <w:t xml:space="preserve"> </w:t>
            </w:r>
            <w:r>
              <w:rPr>
                <w:rFonts w:ascii="Times New Roman" w:hAnsi="Times New Roman"/>
                <w:sz w:val="18"/>
                <w:szCs w:val="18"/>
                <w:lang w:val="en-GB"/>
              </w:rPr>
              <w:t xml:space="preserve"> </w:t>
            </w:r>
            <w:r>
              <w:rPr>
                <w:rFonts w:ascii="Times New Roman" w:hAnsi="Times New Roman" w:eastAsia="MS Mincho"/>
                <w:sz w:val="18"/>
                <w:szCs w:val="18"/>
                <w:lang w:val="en-GB"/>
              </w:rPr>
              <w:t>◯</w:t>
            </w:r>
            <w:r>
              <w:rPr>
                <w:rFonts w:ascii="Times New Roman" w:hAnsi="Times New Roman"/>
                <w:sz w:val="18"/>
                <w:szCs w:val="18"/>
                <w:lang w:val="en-GB"/>
              </w:rPr>
              <w:t xml:space="preserve">放疗   </w:t>
            </w:r>
            <w:r>
              <w:rPr>
                <w:rFonts w:ascii="Times New Roman" w:hAnsi="Times New Roman"/>
                <w:sz w:val="18"/>
                <w:szCs w:val="18"/>
              </w:rPr>
              <w:t xml:space="preserve">         </w:t>
            </w:r>
            <w:r>
              <w:rPr>
                <w:rFonts w:ascii="Times New Roman" w:hAnsi="Times New Roman" w:eastAsia="MS Mincho"/>
                <w:sz w:val="18"/>
                <w:szCs w:val="18"/>
                <w:lang w:val="en-GB"/>
              </w:rPr>
              <w:t>◯</w:t>
            </w:r>
            <w:r>
              <w:rPr>
                <w:rFonts w:ascii="Times New Roman" w:hAnsi="Times New Roman"/>
                <w:sz w:val="18"/>
                <w:szCs w:val="18"/>
                <w:lang w:val="en-GB"/>
              </w:rPr>
              <w:t>化疗（新辅助/辅助）</w:t>
            </w:r>
            <w:r>
              <w:rPr>
                <w:rFonts w:ascii="Times New Roman" w:hAnsi="Times New Roman"/>
                <w:sz w:val="18"/>
                <w:szCs w:val="18"/>
                <w:lang w:val="en-GB"/>
              </w:rPr>
              <w:tab/>
            </w:r>
            <w:r>
              <w:rPr>
                <w:rFonts w:ascii="Times New Roman" w:hAnsi="Times New Roman"/>
                <w:sz w:val="18"/>
                <w:szCs w:val="18"/>
                <w:lang w:val="en-GB"/>
              </w:rPr>
              <w:tab/>
            </w:r>
            <w:r>
              <w:rPr>
                <w:rFonts w:ascii="Times New Roman" w:hAnsi="Times New Roman"/>
                <w:sz w:val="18"/>
                <w:szCs w:val="18"/>
              </w:rPr>
              <w:t xml:space="preserve">    </w:t>
            </w:r>
          </w:p>
          <w:p>
            <w:pPr>
              <w:snapToGrid w:val="0"/>
              <w:spacing w:line="300" w:lineRule="exact"/>
              <w:rPr>
                <w:rFonts w:ascii="Times New Roman" w:hAnsi="Times New Roman"/>
                <w:sz w:val="18"/>
                <w:szCs w:val="18"/>
                <w:u w:val="single"/>
              </w:rPr>
            </w:pPr>
            <w:r>
              <w:rPr>
                <w:rFonts w:ascii="Times New Roman" w:hAnsi="Times New Roman" w:eastAsia="MS Mincho"/>
                <w:sz w:val="18"/>
                <w:szCs w:val="18"/>
                <w:lang w:val="en-GB"/>
              </w:rPr>
              <w:t>◯</w:t>
            </w:r>
            <w:r>
              <w:rPr>
                <w:rFonts w:ascii="Times New Roman" w:hAnsi="Times New Roman"/>
                <w:sz w:val="18"/>
                <w:szCs w:val="18"/>
                <w:lang w:val="en-GB"/>
              </w:rPr>
              <w:t xml:space="preserve">靶向治疗 </w:t>
            </w:r>
            <w:r>
              <w:rPr>
                <w:rFonts w:ascii="Times New Roman" w:hAnsi="Times New Roman"/>
                <w:sz w:val="18"/>
                <w:szCs w:val="18"/>
              </w:rPr>
              <w:t xml:space="preserve">   </w:t>
            </w:r>
            <w:r>
              <w:rPr>
                <w:rFonts w:ascii="Times New Roman" w:hAnsi="Times New Roman" w:eastAsia="MS Mincho"/>
                <w:sz w:val="18"/>
                <w:szCs w:val="18"/>
                <w:lang w:val="en-GB"/>
              </w:rPr>
              <w:t>◯</w:t>
            </w:r>
            <w:r>
              <w:rPr>
                <w:rFonts w:ascii="Times New Roman" w:hAnsi="Times New Roman"/>
                <w:sz w:val="18"/>
                <w:szCs w:val="18"/>
                <w:lang w:val="en-GB"/>
              </w:rPr>
              <w:t xml:space="preserve">免疫治疗   </w:t>
            </w:r>
            <w:r>
              <w:rPr>
                <w:rFonts w:ascii="Times New Roman" w:hAnsi="Times New Roman" w:eastAsia="MS Mincho"/>
                <w:sz w:val="18"/>
                <w:szCs w:val="18"/>
                <w:lang w:val="en-GB"/>
              </w:rPr>
              <w:t>◯</w:t>
            </w:r>
            <w:r>
              <w:rPr>
                <w:rFonts w:ascii="Times New Roman" w:hAnsi="Times New Roman"/>
                <w:sz w:val="18"/>
                <w:szCs w:val="18"/>
              </w:rPr>
              <w:t>内分泌</w:t>
            </w:r>
            <w:r>
              <w:rPr>
                <w:rFonts w:ascii="Times New Roman" w:hAnsi="Times New Roman"/>
                <w:sz w:val="18"/>
                <w:szCs w:val="18"/>
                <w:lang w:val="en-GB"/>
              </w:rPr>
              <w:t>治疗</w:t>
            </w:r>
            <w:r>
              <w:rPr>
                <w:rFonts w:ascii="Times New Roman" w:hAnsi="Times New Roman"/>
                <w:sz w:val="18"/>
                <w:szCs w:val="18"/>
              </w:rPr>
              <w:t xml:space="preserve">   </w:t>
            </w:r>
            <w:r>
              <w:rPr>
                <w:rFonts w:ascii="Times New Roman" w:hAnsi="Times New Roman"/>
                <w:sz w:val="18"/>
                <w:szCs w:val="18"/>
                <w:lang w:val="en-GB"/>
              </w:rPr>
              <w:t xml:space="preserve"> </w:t>
            </w:r>
            <w:r>
              <w:rPr>
                <w:rFonts w:ascii="Times New Roman" w:hAnsi="Times New Roman"/>
                <w:sz w:val="18"/>
                <w:szCs w:val="18"/>
              </w:rPr>
              <w:t xml:space="preserve">  </w:t>
            </w:r>
            <w:r>
              <w:rPr>
                <w:rFonts w:ascii="Times New Roman" w:hAnsi="Times New Roman" w:eastAsia="MS Mincho"/>
                <w:sz w:val="18"/>
                <w:szCs w:val="18"/>
                <w:lang w:val="en-GB"/>
              </w:rPr>
              <w:t>◯</w:t>
            </w:r>
            <w:r>
              <w:rPr>
                <w:rFonts w:ascii="Times New Roman" w:hAnsi="Times New Roman"/>
                <w:sz w:val="18"/>
                <w:szCs w:val="18"/>
                <w:lang w:val="en-GB"/>
              </w:rPr>
              <w:t>治疗</w:t>
            </w:r>
            <w:r>
              <w:rPr>
                <w:rFonts w:ascii="Times New Roman" w:hAnsi="Times New Roman"/>
                <w:sz w:val="18"/>
                <w:szCs w:val="18"/>
              </w:rPr>
              <w:t>间歇期</w:t>
            </w:r>
            <w:r>
              <w:rPr>
                <w:rFonts w:ascii="Times New Roman" w:hAnsi="Times New Roman"/>
                <w:sz w:val="18"/>
                <w:szCs w:val="18"/>
                <w:lang w:val="en-GB"/>
              </w:rPr>
              <w:t xml:space="preserve">   </w:t>
            </w:r>
            <w:r>
              <w:rPr>
                <w:rFonts w:ascii="Times New Roman" w:hAnsi="Times New Roman"/>
                <w:sz w:val="18"/>
                <w:szCs w:val="18"/>
              </w:rPr>
              <w:t xml:space="preserve">   </w:t>
            </w:r>
            <w:r>
              <w:rPr>
                <w:rFonts w:ascii="Times New Roman" w:hAnsi="Times New Roman"/>
                <w:sz w:val="18"/>
                <w:szCs w:val="18"/>
                <w:lang w:val="en-GB"/>
              </w:rPr>
              <w:t xml:space="preserve"> </w:t>
            </w:r>
            <w:r>
              <w:rPr>
                <w:rFonts w:ascii="Times New Roman" w:hAnsi="Times New Roman" w:eastAsia="MS Mincho"/>
                <w:sz w:val="18"/>
                <w:szCs w:val="18"/>
                <w:lang w:val="en-GB"/>
              </w:rPr>
              <w:t>◯</w:t>
            </w:r>
            <w:r>
              <w:rPr>
                <w:rFonts w:ascii="Times New Roman" w:hAnsi="Times New Roman"/>
                <w:sz w:val="18"/>
                <w:szCs w:val="18"/>
              </w:rPr>
              <w:t>康复期</w:t>
            </w: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0" w:type="pct"/>
            <w:gridSpan w:val="2"/>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sz w:val="18"/>
                <w:szCs w:val="18"/>
                <w:lang w:val="en-GB"/>
              </w:rPr>
            </w:pPr>
            <w:r>
              <w:rPr>
                <w:rFonts w:hint="eastAsia" w:ascii="Times New Roman" w:hAnsi="Times New Roman"/>
                <w:sz w:val="18"/>
                <w:szCs w:val="18"/>
              </w:rPr>
              <w:t>2</w:t>
            </w:r>
            <w:r>
              <w:rPr>
                <w:rFonts w:ascii="Times New Roman" w:hAnsi="Times New Roman"/>
                <w:sz w:val="18"/>
                <w:szCs w:val="18"/>
                <w:lang w:val="en-GB"/>
              </w:rPr>
              <w:t>.患者心态</w:t>
            </w:r>
          </w:p>
        </w:tc>
        <w:tc>
          <w:tcPr>
            <w:tcW w:w="4140" w:type="pct"/>
            <w:gridSpan w:val="13"/>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r>
              <w:rPr>
                <w:rFonts w:ascii="Times New Roman" w:hAnsi="Times New Roman" w:eastAsia="MS Mincho"/>
                <w:sz w:val="18"/>
                <w:szCs w:val="18"/>
                <w:lang w:val="en-GB"/>
              </w:rPr>
              <w:t>◯</w:t>
            </w:r>
            <w:r>
              <w:rPr>
                <w:rFonts w:ascii="Times New Roman" w:hAnsi="Times New Roman"/>
                <w:sz w:val="18"/>
                <w:szCs w:val="18"/>
                <w:lang w:val="en-GB"/>
              </w:rPr>
              <w:t>接受，积极应对</w:t>
            </w:r>
            <w:r>
              <w:rPr>
                <w:rFonts w:ascii="Times New Roman" w:hAnsi="Times New Roman"/>
                <w:sz w:val="18"/>
                <w:szCs w:val="18"/>
                <w:lang w:val="en-GB"/>
              </w:rPr>
              <w:tab/>
            </w:r>
            <w:r>
              <w:rPr>
                <w:rFonts w:ascii="Times New Roman" w:hAnsi="Times New Roman"/>
                <w:sz w:val="18"/>
                <w:szCs w:val="18"/>
                <w:lang w:val="en-GB"/>
              </w:rPr>
              <w:t xml:space="preserve">     </w:t>
            </w:r>
            <w:r>
              <w:rPr>
                <w:rFonts w:ascii="Times New Roman" w:hAnsi="Times New Roman"/>
                <w:sz w:val="18"/>
                <w:szCs w:val="18"/>
              </w:rPr>
              <w:t xml:space="preserve">     </w:t>
            </w:r>
            <w:r>
              <w:rPr>
                <w:rFonts w:ascii="Times New Roman" w:hAnsi="Times New Roman" w:eastAsia="MS Mincho"/>
                <w:sz w:val="18"/>
                <w:szCs w:val="18"/>
                <w:lang w:val="en-GB"/>
              </w:rPr>
              <w:t>◯</w:t>
            </w:r>
            <w:r>
              <w:rPr>
                <w:rFonts w:ascii="Times New Roman" w:hAnsi="Times New Roman"/>
                <w:sz w:val="18"/>
                <w:szCs w:val="18"/>
              </w:rPr>
              <w:t>接受，</w:t>
            </w:r>
            <w:r>
              <w:rPr>
                <w:rFonts w:ascii="Times New Roman" w:hAnsi="Times New Roman"/>
                <w:sz w:val="18"/>
                <w:szCs w:val="18"/>
                <w:lang w:val="en-GB"/>
              </w:rPr>
              <w:t xml:space="preserve">平常对待  </w:t>
            </w:r>
            <w:r>
              <w:rPr>
                <w:rFonts w:ascii="Times New Roman" w:hAnsi="Times New Roman" w:eastAsia="MS Mincho"/>
                <w:sz w:val="18"/>
                <w:szCs w:val="18"/>
                <w:lang w:val="en-GB"/>
              </w:rPr>
              <w:t>◯</w:t>
            </w:r>
            <w:r>
              <w:rPr>
                <w:rFonts w:ascii="Times New Roman" w:hAnsi="Times New Roman"/>
                <w:sz w:val="18"/>
                <w:szCs w:val="18"/>
                <w:lang w:val="en-GB"/>
              </w:rPr>
              <w:t>恐惧/愤怒，配合不佳</w:t>
            </w:r>
          </w:p>
          <w:p>
            <w:pPr>
              <w:snapToGrid w:val="0"/>
              <w:spacing w:line="300" w:lineRule="exact"/>
              <w:rPr>
                <w:rFonts w:ascii="Times New Roman" w:hAnsi="Times New Roman"/>
                <w:sz w:val="18"/>
                <w:szCs w:val="18"/>
                <w:lang w:val="en-GB"/>
              </w:rPr>
            </w:pPr>
            <w:r>
              <w:rPr>
                <w:rFonts w:ascii="Times New Roman" w:hAnsi="Times New Roman" w:eastAsia="MS Mincho"/>
                <w:sz w:val="18"/>
                <w:szCs w:val="18"/>
                <w:lang w:val="en-GB"/>
              </w:rPr>
              <w:t>◯</w:t>
            </w:r>
            <w:r>
              <w:rPr>
                <w:rFonts w:ascii="Times New Roman" w:hAnsi="Times New Roman"/>
                <w:sz w:val="18"/>
                <w:szCs w:val="18"/>
                <w:lang w:val="en-GB"/>
              </w:rPr>
              <w:t>悲观沮丧，消极应对</w:t>
            </w:r>
            <w:r>
              <w:rPr>
                <w:rFonts w:ascii="Times New Roman" w:hAnsi="Times New Roman"/>
                <w:sz w:val="18"/>
                <w:szCs w:val="18"/>
              </w:rPr>
              <w:t xml:space="preserve">     </w:t>
            </w:r>
            <w:r>
              <w:rPr>
                <w:rFonts w:ascii="Times New Roman" w:hAnsi="Times New Roman"/>
                <w:sz w:val="18"/>
                <w:szCs w:val="18"/>
                <w:lang w:val="en-GB"/>
              </w:rPr>
              <w:t xml:space="preserve"> </w:t>
            </w:r>
            <w:r>
              <w:rPr>
                <w:rFonts w:ascii="Times New Roman" w:hAnsi="Times New Roman" w:eastAsia="MS Mincho"/>
                <w:sz w:val="18"/>
                <w:szCs w:val="18"/>
                <w:lang w:val="en-GB"/>
              </w:rPr>
              <w:t>◯</w:t>
            </w:r>
            <w:r>
              <w:rPr>
                <w:rFonts w:ascii="Times New Roman" w:hAnsi="Times New Roman"/>
                <w:sz w:val="18"/>
                <w:szCs w:val="18"/>
                <w:lang w:val="en-GB"/>
              </w:rPr>
              <w:t>绝望，拒绝治疗</w:t>
            </w:r>
            <w:r>
              <w:rPr>
                <w:rFonts w:ascii="Times New Roman" w:hAnsi="Times New Roman"/>
                <w:sz w:val="18"/>
                <w:szCs w:val="18"/>
              </w:rPr>
              <w:t xml:space="preserve">  </w:t>
            </w:r>
            <w:r>
              <w:rPr>
                <w:rFonts w:ascii="Times New Roman" w:hAnsi="Times New Roman" w:eastAsia="MS Mincho"/>
                <w:sz w:val="18"/>
                <w:szCs w:val="18"/>
                <w:lang w:val="en-GB"/>
              </w:rPr>
              <w:t>◯</w:t>
            </w:r>
            <w:r>
              <w:rPr>
                <w:rFonts w:ascii="Times New Roman" w:hAnsi="Times New Roman"/>
                <w:sz w:val="18"/>
                <w:szCs w:val="18"/>
                <w:lang w:val="en-GB"/>
              </w:rPr>
              <w:t xml:space="preserve">否认逃避，质疑治疗  </w:t>
            </w: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0" w:type="pct"/>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sz w:val="18"/>
                <w:szCs w:val="18"/>
                <w:u w:val="single"/>
                <w:lang w:val="en-GB"/>
              </w:rPr>
            </w:pPr>
            <w:r>
              <w:rPr>
                <w:rFonts w:hint="eastAsia" w:ascii="Times New Roman" w:hAnsi="Times New Roman"/>
                <w:sz w:val="18"/>
                <w:szCs w:val="18"/>
              </w:rPr>
              <w:t>3</w:t>
            </w:r>
            <w:r>
              <w:rPr>
                <w:rFonts w:ascii="Times New Roman" w:hAnsi="Times New Roman"/>
                <w:sz w:val="18"/>
                <w:szCs w:val="18"/>
                <w:lang w:val="en-GB"/>
              </w:rPr>
              <w:t>.用药情况</w:t>
            </w:r>
          </w:p>
        </w:tc>
        <w:tc>
          <w:tcPr>
            <w:tcW w:w="629"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r>
              <w:rPr>
                <w:rFonts w:ascii="Times New Roman" w:hAnsi="Times New Roman"/>
                <w:sz w:val="18"/>
                <w:szCs w:val="18"/>
                <w:lang w:val="en-GB"/>
              </w:rPr>
              <w:t xml:space="preserve">药品名称  </w:t>
            </w:r>
          </w:p>
        </w:tc>
        <w:tc>
          <w:tcPr>
            <w:tcW w:w="599"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r>
              <w:rPr>
                <w:rFonts w:ascii="Times New Roman" w:hAnsi="Times New Roman"/>
                <w:sz w:val="18"/>
                <w:szCs w:val="18"/>
                <w:lang w:val="en-GB"/>
              </w:rPr>
              <w:t xml:space="preserve">剂型 </w:t>
            </w:r>
          </w:p>
        </w:tc>
        <w:tc>
          <w:tcPr>
            <w:tcW w:w="349" w:type="pct"/>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r>
              <w:rPr>
                <w:rFonts w:ascii="Times New Roman" w:hAnsi="Times New Roman"/>
                <w:sz w:val="18"/>
                <w:szCs w:val="18"/>
                <w:lang w:val="en-GB"/>
              </w:rPr>
              <w:t>用法</w:t>
            </w:r>
          </w:p>
        </w:tc>
        <w:tc>
          <w:tcPr>
            <w:tcW w:w="863" w:type="pct"/>
            <w:gridSpan w:val="3"/>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rPr>
            </w:pPr>
            <w:r>
              <w:rPr>
                <w:rFonts w:ascii="Times New Roman" w:hAnsi="Times New Roman"/>
                <w:sz w:val="18"/>
                <w:szCs w:val="18"/>
              </w:rPr>
              <w:t>储藏/处理方法</w:t>
            </w:r>
          </w:p>
        </w:tc>
        <w:tc>
          <w:tcPr>
            <w:tcW w:w="822"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r>
              <w:rPr>
                <w:rFonts w:ascii="Times New Roman" w:hAnsi="Times New Roman"/>
                <w:sz w:val="18"/>
                <w:szCs w:val="18"/>
                <w:lang w:val="en-GB"/>
              </w:rPr>
              <w:t xml:space="preserve">漏服/总次数 </w:t>
            </w:r>
          </w:p>
        </w:tc>
        <w:tc>
          <w:tcPr>
            <w:tcW w:w="877" w:type="pct"/>
            <w:gridSpan w:val="3"/>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r>
              <w:rPr>
                <w:rFonts w:ascii="Times New Roman" w:hAnsi="Times New Roman"/>
                <w:sz w:val="18"/>
                <w:szCs w:val="18"/>
                <w:lang w:val="en-GB"/>
              </w:rPr>
              <w:t>不良反应</w:t>
            </w: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0" w:type="pct"/>
            <w:gridSpan w:val="2"/>
            <w:vMerge w:val="continue"/>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sz w:val="18"/>
                <w:szCs w:val="18"/>
                <w:lang w:val="en-GB"/>
              </w:rPr>
            </w:pPr>
          </w:p>
        </w:tc>
        <w:tc>
          <w:tcPr>
            <w:tcW w:w="629"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599"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349" w:type="pct"/>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863" w:type="pct"/>
            <w:gridSpan w:val="3"/>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822"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877" w:type="pct"/>
            <w:gridSpan w:val="3"/>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0" w:type="pct"/>
            <w:gridSpan w:val="2"/>
            <w:vMerge w:val="continue"/>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sz w:val="18"/>
                <w:szCs w:val="18"/>
                <w:lang w:val="en-GB"/>
              </w:rPr>
            </w:pPr>
          </w:p>
        </w:tc>
        <w:tc>
          <w:tcPr>
            <w:tcW w:w="629"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599"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349" w:type="pct"/>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863" w:type="pct"/>
            <w:gridSpan w:val="3"/>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822" w:type="pct"/>
            <w:gridSpan w:val="2"/>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877" w:type="pct"/>
            <w:gridSpan w:val="3"/>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0" w:type="pct"/>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sz w:val="18"/>
                <w:szCs w:val="18"/>
                <w:lang w:val="en-GB"/>
              </w:rPr>
            </w:pPr>
            <w:r>
              <w:rPr>
                <w:rFonts w:ascii="Times New Roman" w:hAnsi="Times New Roman"/>
                <w:sz w:val="18"/>
                <w:szCs w:val="18"/>
                <w:lang w:val="en-GB"/>
              </w:rPr>
              <w:t>4.</w:t>
            </w:r>
            <w:r>
              <w:rPr>
                <w:rFonts w:hint="eastAsia" w:ascii="Times New Roman" w:hAnsi="Times New Roman"/>
                <w:sz w:val="18"/>
                <w:szCs w:val="18"/>
              </w:rPr>
              <w:t>康复</w:t>
            </w:r>
            <w:r>
              <w:rPr>
                <w:rFonts w:ascii="Times New Roman" w:hAnsi="Times New Roman"/>
                <w:sz w:val="18"/>
                <w:szCs w:val="18"/>
                <w:lang w:val="en-GB"/>
              </w:rPr>
              <w:t>指导</w:t>
            </w:r>
          </w:p>
        </w:tc>
        <w:tc>
          <w:tcPr>
            <w:tcW w:w="1577" w:type="pct"/>
            <w:gridSpan w:val="5"/>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lang w:val="en-GB"/>
              </w:rPr>
            </w:pPr>
            <w:r>
              <w:rPr>
                <w:rFonts w:ascii="Times New Roman" w:hAnsi="Times New Roman"/>
                <w:sz w:val="18"/>
                <w:szCs w:val="18"/>
                <w:lang w:val="en-GB"/>
              </w:rPr>
              <w:t>项目名称</w:t>
            </w:r>
          </w:p>
        </w:tc>
        <w:tc>
          <w:tcPr>
            <w:tcW w:w="2562" w:type="pct"/>
            <w:gridSpan w:val="8"/>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lang w:val="en-GB"/>
              </w:rPr>
            </w:pPr>
            <w:r>
              <w:rPr>
                <w:rFonts w:ascii="Times New Roman" w:hAnsi="Times New Roman"/>
                <w:sz w:val="18"/>
                <w:szCs w:val="18"/>
                <w:lang w:val="en-GB"/>
              </w:rPr>
              <w:t>▲为需要干预  ☆为该阶段达标</w:t>
            </w: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0" w:type="pct"/>
            <w:gridSpan w:val="2"/>
            <w:vMerge w:val="continue"/>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sz w:val="18"/>
                <w:szCs w:val="18"/>
                <w:lang w:val="en-GB"/>
              </w:rPr>
            </w:pPr>
          </w:p>
        </w:tc>
        <w:tc>
          <w:tcPr>
            <w:tcW w:w="3817" w:type="pct"/>
            <w:gridSpan w:val="12"/>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lang w:val="en-GB"/>
              </w:rPr>
            </w:pPr>
            <w:r>
              <w:rPr>
                <w:rFonts w:ascii="Times New Roman" w:hAnsi="Times New Roman"/>
                <w:sz w:val="18"/>
                <w:szCs w:val="18"/>
              </w:rPr>
              <w:t>1</w:t>
            </w:r>
            <w:r>
              <w:rPr>
                <w:rFonts w:ascii="Times New Roman" w:hAnsi="Times New Roman"/>
                <w:sz w:val="18"/>
                <w:szCs w:val="18"/>
                <w:lang w:val="en-GB"/>
              </w:rPr>
              <w:t xml:space="preserve">) 用药指导 </w:t>
            </w:r>
          </w:p>
        </w:tc>
        <w:tc>
          <w:tcPr>
            <w:tcW w:w="323" w:type="pct"/>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lang w:val="en-GB"/>
              </w:rPr>
            </w:pP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0" w:type="pct"/>
            <w:gridSpan w:val="2"/>
            <w:vMerge w:val="continue"/>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sz w:val="18"/>
                <w:szCs w:val="18"/>
                <w:lang w:val="en-GB"/>
              </w:rPr>
            </w:pPr>
          </w:p>
        </w:tc>
        <w:tc>
          <w:tcPr>
            <w:tcW w:w="3817" w:type="pct"/>
            <w:gridSpan w:val="12"/>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rPr>
            </w:pPr>
            <w:r>
              <w:rPr>
                <w:rFonts w:ascii="Times New Roman" w:hAnsi="Times New Roman"/>
                <w:sz w:val="18"/>
                <w:szCs w:val="18"/>
              </w:rPr>
              <w:t>2</w:t>
            </w:r>
            <w:r>
              <w:rPr>
                <w:rFonts w:ascii="Times New Roman" w:hAnsi="Times New Roman"/>
                <w:sz w:val="18"/>
                <w:szCs w:val="18"/>
                <w:lang w:val="en-GB"/>
              </w:rPr>
              <w:t xml:space="preserve">) </w:t>
            </w:r>
            <w:r>
              <w:rPr>
                <w:rFonts w:ascii="Times New Roman" w:hAnsi="Times New Roman"/>
                <w:sz w:val="18"/>
                <w:szCs w:val="18"/>
              </w:rPr>
              <w:t>功能</w:t>
            </w:r>
            <w:r>
              <w:rPr>
                <w:rFonts w:ascii="Times New Roman" w:hAnsi="Times New Roman"/>
                <w:sz w:val="18"/>
                <w:szCs w:val="18"/>
                <w:lang w:val="en-GB"/>
              </w:rPr>
              <w:t>锻炼</w:t>
            </w:r>
            <w:r>
              <w:rPr>
                <w:rFonts w:ascii="Times New Roman" w:hAnsi="Times New Roman"/>
                <w:sz w:val="18"/>
                <w:szCs w:val="18"/>
              </w:rPr>
              <w:t>指导/淋巴水肿预防</w:t>
            </w:r>
          </w:p>
        </w:tc>
        <w:tc>
          <w:tcPr>
            <w:tcW w:w="323" w:type="pct"/>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lang w:val="en-GB"/>
              </w:rPr>
            </w:pP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0" w:type="pct"/>
            <w:gridSpan w:val="2"/>
            <w:vMerge w:val="continue"/>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sz w:val="18"/>
                <w:szCs w:val="18"/>
                <w:lang w:val="en-GB"/>
              </w:rPr>
            </w:pPr>
          </w:p>
        </w:tc>
        <w:tc>
          <w:tcPr>
            <w:tcW w:w="3817" w:type="pct"/>
            <w:gridSpan w:val="12"/>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rPr>
            </w:pPr>
            <w:r>
              <w:rPr>
                <w:rFonts w:ascii="Times New Roman" w:hAnsi="Times New Roman"/>
                <w:sz w:val="18"/>
                <w:szCs w:val="18"/>
              </w:rPr>
              <w:t>3</w:t>
            </w:r>
            <w:r>
              <w:rPr>
                <w:rFonts w:ascii="Times New Roman" w:hAnsi="Times New Roman"/>
                <w:sz w:val="18"/>
                <w:szCs w:val="18"/>
                <w:lang w:val="en-GB"/>
              </w:rPr>
              <w:t xml:space="preserve">) </w:t>
            </w:r>
            <w:r>
              <w:rPr>
                <w:rFonts w:ascii="Times New Roman" w:hAnsi="Times New Roman"/>
                <w:sz w:val="18"/>
                <w:szCs w:val="18"/>
              </w:rPr>
              <w:t>疼痛指导</w:t>
            </w:r>
          </w:p>
        </w:tc>
        <w:tc>
          <w:tcPr>
            <w:tcW w:w="323" w:type="pct"/>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lang w:val="en-GB"/>
              </w:rPr>
            </w:pP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0" w:type="pct"/>
            <w:gridSpan w:val="2"/>
            <w:vMerge w:val="continue"/>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sz w:val="18"/>
                <w:szCs w:val="18"/>
                <w:lang w:val="en-GB"/>
              </w:rPr>
            </w:pPr>
          </w:p>
        </w:tc>
        <w:tc>
          <w:tcPr>
            <w:tcW w:w="3817" w:type="pct"/>
            <w:gridSpan w:val="12"/>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rPr>
            </w:pPr>
            <w:r>
              <w:rPr>
                <w:rFonts w:ascii="Times New Roman" w:hAnsi="Times New Roman"/>
                <w:sz w:val="18"/>
                <w:szCs w:val="18"/>
              </w:rPr>
              <w:t>4</w:t>
            </w:r>
            <w:r>
              <w:rPr>
                <w:rFonts w:ascii="Times New Roman" w:hAnsi="Times New Roman"/>
                <w:sz w:val="18"/>
                <w:szCs w:val="18"/>
                <w:lang w:val="en-GB"/>
              </w:rPr>
              <w:t>）</w:t>
            </w:r>
            <w:r>
              <w:rPr>
                <w:rFonts w:ascii="Times New Roman" w:hAnsi="Times New Roman"/>
                <w:sz w:val="18"/>
                <w:szCs w:val="18"/>
              </w:rPr>
              <w:t>导管维护（引流管、PICC、输液港）</w:t>
            </w:r>
          </w:p>
        </w:tc>
        <w:tc>
          <w:tcPr>
            <w:tcW w:w="323" w:type="pct"/>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lang w:val="en-GB"/>
              </w:rPr>
            </w:pP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0" w:type="pct"/>
            <w:gridSpan w:val="2"/>
            <w:vMerge w:val="continue"/>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sz w:val="18"/>
                <w:szCs w:val="18"/>
                <w:lang w:val="en-GB"/>
              </w:rPr>
            </w:pPr>
          </w:p>
        </w:tc>
        <w:tc>
          <w:tcPr>
            <w:tcW w:w="3817" w:type="pct"/>
            <w:gridSpan w:val="12"/>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rPr>
            </w:pPr>
            <w:r>
              <w:rPr>
                <w:rFonts w:ascii="Times New Roman" w:hAnsi="Times New Roman"/>
                <w:sz w:val="18"/>
                <w:szCs w:val="18"/>
              </w:rPr>
              <w:t>5）皮肤维护指导</w:t>
            </w:r>
          </w:p>
        </w:tc>
        <w:tc>
          <w:tcPr>
            <w:tcW w:w="323" w:type="pct"/>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lang w:val="en-GB"/>
              </w:rPr>
            </w:pP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0" w:type="pct"/>
            <w:gridSpan w:val="2"/>
            <w:vMerge w:val="continue"/>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sz w:val="18"/>
                <w:szCs w:val="18"/>
                <w:lang w:val="en-GB"/>
              </w:rPr>
            </w:pPr>
          </w:p>
        </w:tc>
        <w:tc>
          <w:tcPr>
            <w:tcW w:w="3817" w:type="pct"/>
            <w:gridSpan w:val="12"/>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rPr>
            </w:pPr>
            <w:r>
              <w:rPr>
                <w:rFonts w:ascii="Times New Roman" w:hAnsi="Times New Roman"/>
                <w:sz w:val="18"/>
                <w:szCs w:val="18"/>
              </w:rPr>
              <w:t>6</w:t>
            </w:r>
            <w:r>
              <w:rPr>
                <w:rFonts w:ascii="Times New Roman" w:hAnsi="Times New Roman"/>
                <w:sz w:val="18"/>
                <w:szCs w:val="18"/>
                <w:lang w:val="en-GB"/>
              </w:rPr>
              <w:t>) 心理</w:t>
            </w:r>
            <w:r>
              <w:rPr>
                <w:rFonts w:ascii="Times New Roman" w:hAnsi="Times New Roman"/>
                <w:sz w:val="18"/>
                <w:szCs w:val="18"/>
              </w:rPr>
              <w:t>社会支持指导</w:t>
            </w:r>
          </w:p>
        </w:tc>
        <w:tc>
          <w:tcPr>
            <w:tcW w:w="323" w:type="pct"/>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lang w:val="en-GB"/>
              </w:rPr>
            </w:pP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0" w:type="pct"/>
            <w:gridSpan w:val="2"/>
            <w:vMerge w:val="continue"/>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sz w:val="18"/>
                <w:szCs w:val="18"/>
                <w:lang w:val="en-GB"/>
              </w:rPr>
            </w:pPr>
          </w:p>
        </w:tc>
        <w:tc>
          <w:tcPr>
            <w:tcW w:w="3817" w:type="pct"/>
            <w:gridSpan w:val="12"/>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rPr>
            </w:pPr>
            <w:r>
              <w:rPr>
                <w:rFonts w:ascii="Times New Roman" w:hAnsi="Times New Roman"/>
                <w:sz w:val="18"/>
                <w:szCs w:val="18"/>
              </w:rPr>
              <w:t>7</w:t>
            </w:r>
            <w:r>
              <w:rPr>
                <w:rFonts w:ascii="Times New Roman" w:hAnsi="Times New Roman"/>
                <w:sz w:val="18"/>
                <w:szCs w:val="18"/>
                <w:lang w:val="en-GB"/>
              </w:rPr>
              <w:t>) 生活</w:t>
            </w:r>
            <w:r>
              <w:rPr>
                <w:rFonts w:ascii="Times New Roman" w:hAnsi="Times New Roman"/>
                <w:sz w:val="18"/>
                <w:szCs w:val="18"/>
              </w:rPr>
              <w:t>方式指导（饮食、运动、睡眠、社会活动）</w:t>
            </w:r>
          </w:p>
        </w:tc>
        <w:tc>
          <w:tcPr>
            <w:tcW w:w="323" w:type="pct"/>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lang w:val="en-GB"/>
              </w:rPr>
            </w:pP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0" w:type="pct"/>
            <w:gridSpan w:val="2"/>
            <w:vMerge w:val="continue"/>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sz w:val="18"/>
                <w:szCs w:val="18"/>
                <w:lang w:val="en-GB"/>
              </w:rPr>
            </w:pPr>
          </w:p>
        </w:tc>
        <w:tc>
          <w:tcPr>
            <w:tcW w:w="3817" w:type="pct"/>
            <w:gridSpan w:val="12"/>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rPr>
            </w:pPr>
            <w:r>
              <w:rPr>
                <w:rFonts w:ascii="Times New Roman" w:hAnsi="Times New Roman"/>
                <w:sz w:val="18"/>
                <w:szCs w:val="18"/>
              </w:rPr>
              <w:t>8）伴随症状指导</w:t>
            </w:r>
          </w:p>
        </w:tc>
        <w:tc>
          <w:tcPr>
            <w:tcW w:w="323" w:type="pct"/>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lang w:val="en-GB"/>
              </w:rPr>
            </w:pP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0" w:type="pct"/>
            <w:gridSpan w:val="2"/>
            <w:vMerge w:val="continue"/>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sz w:val="18"/>
                <w:szCs w:val="18"/>
                <w:lang w:val="en-GB"/>
              </w:rPr>
            </w:pPr>
          </w:p>
        </w:tc>
        <w:tc>
          <w:tcPr>
            <w:tcW w:w="3817" w:type="pct"/>
            <w:gridSpan w:val="12"/>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rPr>
            </w:pPr>
            <w:r>
              <w:rPr>
                <w:rFonts w:ascii="Times New Roman" w:hAnsi="Times New Roman"/>
                <w:sz w:val="18"/>
                <w:szCs w:val="18"/>
              </w:rPr>
              <w:t>9）检查检验指导</w:t>
            </w:r>
          </w:p>
        </w:tc>
        <w:tc>
          <w:tcPr>
            <w:tcW w:w="323" w:type="pct"/>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lang w:val="en-GB"/>
              </w:rPr>
            </w:pP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0" w:type="pct"/>
            <w:gridSpan w:val="2"/>
            <w:vMerge w:val="continue"/>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sz w:val="18"/>
                <w:szCs w:val="18"/>
                <w:lang w:val="en-GB"/>
              </w:rPr>
            </w:pPr>
          </w:p>
        </w:tc>
        <w:tc>
          <w:tcPr>
            <w:tcW w:w="3817" w:type="pct"/>
            <w:gridSpan w:val="12"/>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rPr>
            </w:pPr>
            <w:r>
              <w:rPr>
                <w:rFonts w:ascii="Times New Roman" w:hAnsi="Times New Roman"/>
                <w:sz w:val="18"/>
                <w:szCs w:val="18"/>
              </w:rPr>
              <w:t>10）其他</w:t>
            </w:r>
          </w:p>
        </w:tc>
        <w:tc>
          <w:tcPr>
            <w:tcW w:w="323" w:type="pct"/>
            <w:tcBorders>
              <w:top w:val="single" w:color="auto" w:sz="4" w:space="0"/>
              <w:left w:val="single" w:color="auto" w:sz="4" w:space="0"/>
              <w:bottom w:val="single" w:color="auto" w:sz="4" w:space="0"/>
              <w:right w:val="single" w:color="auto" w:sz="4" w:space="0"/>
            </w:tcBorders>
          </w:tcPr>
          <w:p>
            <w:pPr>
              <w:tabs>
                <w:tab w:val="left" w:pos="2415"/>
              </w:tabs>
              <w:snapToGrid w:val="0"/>
              <w:spacing w:line="300" w:lineRule="exact"/>
              <w:rPr>
                <w:rFonts w:ascii="Times New Roman" w:hAnsi="Times New Roman"/>
                <w:sz w:val="18"/>
                <w:szCs w:val="18"/>
                <w:lang w:val="en-GB"/>
              </w:rPr>
            </w:pP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15"/>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left"/>
              <w:rPr>
                <w:rFonts w:ascii="Times New Roman" w:hAnsi="Times New Roman"/>
                <w:sz w:val="18"/>
                <w:szCs w:val="18"/>
              </w:rPr>
            </w:pPr>
            <w:r>
              <w:rPr>
                <w:rFonts w:ascii="Times New Roman" w:hAnsi="Times New Roman"/>
                <w:sz w:val="18"/>
                <w:szCs w:val="18"/>
              </w:rPr>
              <w:t>三、随访记录</w:t>
            </w: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4" w:type="pct"/>
            <w:vMerge w:val="restart"/>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sz w:val="18"/>
                <w:szCs w:val="18"/>
              </w:rPr>
            </w:pPr>
            <w:r>
              <w:rPr>
                <w:rFonts w:ascii="Times New Roman" w:hAnsi="Times New Roman"/>
                <w:sz w:val="18"/>
                <w:szCs w:val="18"/>
              </w:rPr>
              <w:t>随访反馈</w:t>
            </w:r>
          </w:p>
        </w:tc>
        <w:tc>
          <w:tcPr>
            <w:tcW w:w="885" w:type="pct"/>
            <w:gridSpan w:val="3"/>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r>
              <w:rPr>
                <w:rFonts w:ascii="Times New Roman" w:hAnsi="Times New Roman"/>
                <w:sz w:val="18"/>
                <w:szCs w:val="18"/>
                <w:lang w:val="en-GB"/>
              </w:rPr>
              <w:t>患者反馈</w:t>
            </w:r>
          </w:p>
        </w:tc>
        <w:tc>
          <w:tcPr>
            <w:tcW w:w="3511" w:type="pct"/>
            <w:gridSpan w:val="11"/>
            <w:tcBorders>
              <w:top w:val="single" w:color="auto" w:sz="4" w:space="0"/>
              <w:left w:val="single" w:color="auto" w:sz="4" w:space="0"/>
              <w:bottom w:val="single" w:color="auto" w:sz="4" w:space="0"/>
              <w:right w:val="single" w:color="auto" w:sz="4" w:space="0"/>
            </w:tcBorders>
          </w:tcPr>
          <w:p>
            <w:pPr>
              <w:snapToGrid w:val="0"/>
              <w:spacing w:line="300" w:lineRule="exact"/>
              <w:jc w:val="center"/>
              <w:rPr>
                <w:rFonts w:ascii="Times New Roman" w:hAnsi="Times New Roman"/>
                <w:sz w:val="18"/>
                <w:szCs w:val="18"/>
                <w:lang w:val="en-GB"/>
              </w:rPr>
            </w:pPr>
            <w:r>
              <w:rPr>
                <w:rFonts w:ascii="Times New Roman" w:hAnsi="Times New Roman"/>
                <w:sz w:val="18"/>
                <w:szCs w:val="18"/>
                <w:lang w:val="en-GB"/>
              </w:rPr>
              <w:t>非常满意       满意        一般      不满意      非常不满意</w:t>
            </w: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4" w:type="pct"/>
            <w:vMerge w:val="continue"/>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885" w:type="pct"/>
            <w:gridSpan w:val="3"/>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r>
              <w:rPr>
                <w:rFonts w:ascii="Times New Roman" w:hAnsi="Times New Roman"/>
                <w:sz w:val="18"/>
                <w:szCs w:val="18"/>
                <w:lang w:val="en-GB"/>
              </w:rPr>
              <w:t>患者</w:t>
            </w:r>
            <w:r>
              <w:rPr>
                <w:rFonts w:ascii="Times New Roman" w:hAnsi="Times New Roman"/>
                <w:sz w:val="18"/>
                <w:szCs w:val="18"/>
              </w:rPr>
              <w:t>意见</w:t>
            </w:r>
          </w:p>
        </w:tc>
        <w:tc>
          <w:tcPr>
            <w:tcW w:w="3511" w:type="pct"/>
            <w:gridSpan w:val="11"/>
            <w:tcBorders>
              <w:top w:val="single" w:color="auto" w:sz="4" w:space="0"/>
              <w:left w:val="single" w:color="auto" w:sz="4" w:space="0"/>
              <w:bottom w:val="single" w:color="auto" w:sz="4" w:space="0"/>
              <w:right w:val="single" w:color="auto" w:sz="4" w:space="0"/>
            </w:tcBorders>
          </w:tcPr>
          <w:p>
            <w:pPr>
              <w:snapToGrid w:val="0"/>
              <w:spacing w:line="300" w:lineRule="exact"/>
              <w:jc w:val="center"/>
              <w:rPr>
                <w:rFonts w:ascii="Times New Roman" w:hAnsi="Times New Roman"/>
                <w:sz w:val="18"/>
                <w:szCs w:val="18"/>
                <w:lang w:val="en-GB"/>
              </w:rPr>
            </w:pPr>
          </w:p>
        </w:tc>
      </w:tr>
      <w:tr>
        <w:tblPrEx>
          <w:tblBorders>
            <w:top w:val="single" w:color="auto" w:sz="4" w:space="0"/>
            <w:left w:val="single" w:color="auto" w:sz="4" w:space="0"/>
            <w:bottom w:val="single" w:color="auto" w:sz="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4" w:type="pct"/>
            <w:vMerge w:val="continue"/>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p>
        </w:tc>
        <w:tc>
          <w:tcPr>
            <w:tcW w:w="885" w:type="pct"/>
            <w:gridSpan w:val="3"/>
            <w:tcBorders>
              <w:top w:val="single" w:color="auto" w:sz="4" w:space="0"/>
              <w:left w:val="single" w:color="auto" w:sz="4" w:space="0"/>
              <w:bottom w:val="single" w:color="auto" w:sz="4" w:space="0"/>
              <w:right w:val="single" w:color="auto" w:sz="4" w:space="0"/>
            </w:tcBorders>
          </w:tcPr>
          <w:p>
            <w:pPr>
              <w:snapToGrid w:val="0"/>
              <w:spacing w:line="300" w:lineRule="exact"/>
              <w:rPr>
                <w:rFonts w:ascii="Times New Roman" w:hAnsi="Times New Roman"/>
                <w:sz w:val="18"/>
                <w:szCs w:val="18"/>
                <w:lang w:val="en-GB"/>
              </w:rPr>
            </w:pPr>
            <w:r>
              <w:rPr>
                <w:rFonts w:ascii="Times New Roman" w:hAnsi="Times New Roman"/>
                <w:sz w:val="18"/>
                <w:szCs w:val="18"/>
              </w:rPr>
              <w:t>随访者</w:t>
            </w:r>
          </w:p>
        </w:tc>
        <w:tc>
          <w:tcPr>
            <w:tcW w:w="3511" w:type="pct"/>
            <w:gridSpan w:val="11"/>
            <w:tcBorders>
              <w:top w:val="single" w:color="auto" w:sz="4" w:space="0"/>
              <w:left w:val="single" w:color="auto" w:sz="4" w:space="0"/>
              <w:bottom w:val="single" w:color="auto" w:sz="4" w:space="0"/>
              <w:right w:val="single" w:color="auto" w:sz="4" w:space="0"/>
            </w:tcBorders>
          </w:tcPr>
          <w:p>
            <w:pPr>
              <w:snapToGrid w:val="0"/>
              <w:spacing w:line="300" w:lineRule="exact"/>
              <w:jc w:val="center"/>
              <w:rPr>
                <w:rFonts w:ascii="Times New Roman" w:hAnsi="Times New Roman"/>
                <w:sz w:val="18"/>
                <w:szCs w:val="18"/>
                <w:lang w:val="en-GB"/>
              </w:rPr>
            </w:pPr>
          </w:p>
        </w:tc>
      </w:tr>
    </w:tbl>
    <w:p>
      <w:pPr>
        <w:pStyle w:val="56"/>
        <w:ind w:firstLine="42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pPr>
    </w:p>
    <w:p>
      <w:pPr>
        <w:pStyle w:val="199"/>
        <w:numPr>
          <w:ilvl w:val="0"/>
          <w:numId w:val="0"/>
        </w:numPr>
        <w:ind w:left="425"/>
        <w:jc w:val="both"/>
        <w:rPr>
          <w:rFonts w:ascii="黑体" w:hAnsi="黑体"/>
          <w:szCs w:val="21"/>
        </w:rPr>
      </w:pPr>
    </w:p>
    <w:p>
      <w:pPr>
        <w:pStyle w:val="198"/>
      </w:pPr>
    </w:p>
    <w:p>
      <w:pPr>
        <w:pStyle w:val="199"/>
      </w:pPr>
    </w:p>
    <w:p>
      <w:pPr>
        <w:pStyle w:val="76"/>
        <w:spacing w:before="78" w:after="156"/>
        <w:ind w:left="-142"/>
      </w:pPr>
      <w:r>
        <w:br w:type="textWrapping"/>
      </w:r>
      <w:bookmarkStart w:id="80" w:name="_Toc170288784"/>
      <w:r>
        <w:rPr>
          <w:rFonts w:hint="eastAsia"/>
        </w:rPr>
        <w:t>（规范性）</w:t>
      </w:r>
      <w:r>
        <w:br w:type="textWrapping"/>
      </w:r>
      <w:r>
        <w:rPr>
          <w:rFonts w:hint="eastAsia"/>
        </w:rPr>
        <w:t>乳腺癌患者随访项目与随访频次</w:t>
      </w:r>
      <w:bookmarkEnd w:id="80"/>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9"/>
        <w:gridCol w:w="5169"/>
        <w:gridCol w:w="2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blHeader/>
          <w:jc w:val="center"/>
        </w:trPr>
        <w:tc>
          <w:tcPr>
            <w:tcW w:w="846" w:type="pct"/>
          </w:tcPr>
          <w:p>
            <w:pPr>
              <w:widowControl/>
              <w:snapToGrid w:val="0"/>
              <w:jc w:val="center"/>
              <w:rPr>
                <w:rFonts w:ascii="黑体" w:hAnsi="黑体" w:eastAsia="黑体"/>
                <w:kern w:val="0"/>
                <w:lang w:eastAsia="en-US"/>
              </w:rPr>
            </w:pPr>
            <w:r>
              <w:rPr>
                <w:rFonts w:ascii="黑体" w:hAnsi="黑体" w:eastAsia="黑体"/>
                <w:color w:val="000000"/>
                <w:kern w:val="0"/>
                <w:lang w:bidi="ar"/>
              </w:rPr>
              <w:t>随访项目</w:t>
            </w:r>
          </w:p>
        </w:tc>
        <w:tc>
          <w:tcPr>
            <w:tcW w:w="2700" w:type="pct"/>
          </w:tcPr>
          <w:p>
            <w:pPr>
              <w:widowControl/>
              <w:snapToGrid w:val="0"/>
              <w:jc w:val="center"/>
              <w:rPr>
                <w:rFonts w:ascii="黑体" w:hAnsi="黑体" w:eastAsia="黑体"/>
                <w:kern w:val="0"/>
                <w:lang w:eastAsia="en-US"/>
              </w:rPr>
            </w:pPr>
            <w:r>
              <w:rPr>
                <w:rFonts w:ascii="黑体" w:hAnsi="黑体" w:eastAsia="黑体"/>
                <w:color w:val="000000"/>
                <w:kern w:val="0"/>
                <w:lang w:bidi="ar"/>
              </w:rPr>
              <w:t>结果评估标准</w:t>
            </w:r>
          </w:p>
        </w:tc>
        <w:tc>
          <w:tcPr>
            <w:tcW w:w="1453" w:type="pct"/>
          </w:tcPr>
          <w:p>
            <w:pPr>
              <w:widowControl/>
              <w:snapToGrid w:val="0"/>
              <w:jc w:val="center"/>
              <w:rPr>
                <w:rFonts w:ascii="黑体" w:hAnsi="黑体" w:eastAsia="黑体"/>
                <w:kern w:val="0"/>
                <w:lang w:eastAsia="en-US"/>
              </w:rPr>
            </w:pPr>
            <w:r>
              <w:rPr>
                <w:rFonts w:ascii="黑体" w:hAnsi="黑体" w:eastAsia="黑体"/>
                <w:color w:val="000000"/>
                <w:kern w:val="0"/>
                <w:lang w:bidi="ar"/>
              </w:rPr>
              <w:t>供参考的时间和频率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pct"/>
          </w:tcPr>
          <w:p>
            <w:pPr>
              <w:widowControl/>
              <w:snapToGrid w:val="0"/>
              <w:jc w:val="left"/>
              <w:rPr>
                <w:rFonts w:ascii="Times New Roman" w:hAnsi="Times New Roman"/>
                <w:kern w:val="0"/>
                <w:lang w:eastAsia="en-US"/>
              </w:rPr>
            </w:pPr>
            <w:r>
              <w:rPr>
                <w:rFonts w:ascii="Times New Roman" w:hAnsi="Times New Roman"/>
                <w:color w:val="000000"/>
                <w:kern w:val="0"/>
                <w:lang w:bidi="ar"/>
              </w:rPr>
              <w:t xml:space="preserve">临床体检 </w:t>
            </w:r>
          </w:p>
          <w:p>
            <w:pPr>
              <w:snapToGrid w:val="0"/>
              <w:ind w:firstLine="420" w:firstLineChars="200"/>
              <w:jc w:val="center"/>
              <w:rPr>
                <w:rFonts w:ascii="Times New Roman" w:hAnsi="Times New Roman"/>
                <w:lang w:eastAsia="en-US"/>
              </w:rPr>
            </w:pPr>
          </w:p>
        </w:tc>
        <w:tc>
          <w:tcPr>
            <w:tcW w:w="2700" w:type="pct"/>
          </w:tcPr>
          <w:p>
            <w:pPr>
              <w:snapToGrid w:val="0"/>
              <w:jc w:val="left"/>
              <w:rPr>
                <w:rFonts w:ascii="Times New Roman" w:hAnsi="Times New Roman"/>
              </w:rPr>
            </w:pPr>
            <w:r>
              <w:rPr>
                <w:rFonts w:ascii="Times New Roman" w:hAnsi="Times New Roman"/>
              </w:rPr>
              <w:t>包括乳腺、胸壁、淋巴结和初始有症状的部位区域；若乳腺新发肿块、胸壁出现皮疹或结节、新发淋巴结肿大，则应进行组织病理学活检；其他部位新出现症状或有新发病灶，则给予相应检查。</w:t>
            </w:r>
          </w:p>
        </w:tc>
        <w:tc>
          <w:tcPr>
            <w:tcW w:w="1453" w:type="pct"/>
          </w:tcPr>
          <w:p>
            <w:pPr>
              <w:snapToGrid w:val="0"/>
              <w:rPr>
                <w:rFonts w:ascii="Times New Roman" w:hAnsi="Times New Roman"/>
              </w:rPr>
            </w:pPr>
            <w:r>
              <w:rPr>
                <w:rFonts w:ascii="Times New Roman" w:hAnsi="Times New Roman"/>
              </w:rPr>
              <w:t>最初2年每3~6个月1次，其后3 年每6个月1次，5 年后每年1次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pct"/>
          </w:tcPr>
          <w:p>
            <w:pPr>
              <w:snapToGrid w:val="0"/>
              <w:rPr>
                <w:rFonts w:ascii="Times New Roman" w:hAnsi="Times New Roman"/>
                <w:lang w:eastAsia="en-US"/>
              </w:rPr>
            </w:pPr>
            <w:r>
              <w:rPr>
                <w:rFonts w:ascii="Times New Roman" w:hAnsi="Times New Roman"/>
                <w:lang w:eastAsia="en-US"/>
              </w:rPr>
              <w:t>乳腺超声</w:t>
            </w:r>
          </w:p>
        </w:tc>
        <w:tc>
          <w:tcPr>
            <w:tcW w:w="2700" w:type="pct"/>
          </w:tcPr>
          <w:p>
            <w:pPr>
              <w:snapToGrid w:val="0"/>
              <w:jc w:val="left"/>
              <w:rPr>
                <w:rFonts w:ascii="Times New Roman" w:hAnsi="Times New Roman"/>
              </w:rPr>
            </w:pPr>
            <w:r>
              <w:rPr>
                <w:rFonts w:ascii="Times New Roman" w:hAnsi="Times New Roman"/>
              </w:rPr>
              <w:t>0级：需要其他影像学检查进一步评估；1级：阴性，超声影像未见异常；2级</w:t>
            </w:r>
            <w:r>
              <w:rPr>
                <w:rFonts w:hint="eastAsia" w:ascii="Times New Roman" w:hAnsi="Times New Roman"/>
              </w:rPr>
              <w:t>：</w:t>
            </w:r>
            <w:r>
              <w:rPr>
                <w:rFonts w:ascii="Times New Roman" w:hAnsi="Times New Roman"/>
              </w:rPr>
              <w:t>良性病灶。 基本上可以排除恶性病变。 根据年龄及临床表现可每 6~12个月随诊；3级：可能良性病灶，建议短期复查（3~6个月）及加做其他检查；4级：可疑的恶性病灶，建议进行组织病理学检查；5级：高度可能恶性，应积极采取适当的诊断及处理措施；6级已活检证实为恶性，应采取适当措施。</w:t>
            </w:r>
          </w:p>
        </w:tc>
        <w:tc>
          <w:tcPr>
            <w:tcW w:w="1453" w:type="pct"/>
          </w:tcPr>
          <w:p>
            <w:pPr>
              <w:snapToGrid w:val="0"/>
              <w:rPr>
                <w:rFonts w:ascii="Times New Roman" w:hAnsi="Times New Roman"/>
                <w:lang w:eastAsia="en-US"/>
              </w:rPr>
            </w:pPr>
            <w:r>
              <w:rPr>
                <w:rFonts w:ascii="Times New Roman" w:hAnsi="Times New Roman"/>
                <w:lang w:eastAsia="en-US"/>
              </w:rPr>
              <w:t>每</w:t>
            </w:r>
            <w:r>
              <w:rPr>
                <w:rFonts w:ascii="Times New Roman" w:hAnsi="Times New Roman"/>
              </w:rPr>
              <w:t>6</w:t>
            </w:r>
            <w:r>
              <w:rPr>
                <w:rFonts w:ascii="Times New Roman" w:hAnsi="Times New Roman"/>
                <w:lang w:eastAsia="en-US"/>
              </w:rPr>
              <w:t>个月</w:t>
            </w:r>
            <w:r>
              <w:rPr>
                <w:rFonts w:ascii="Times New Roman" w:hAnsi="Times New Roman"/>
              </w:rPr>
              <w:t>1</w:t>
            </w:r>
            <w:r>
              <w:rPr>
                <w:rFonts w:ascii="Times New Roman" w:hAnsi="Times New Roman"/>
                <w:lang w:eastAsia="en-US"/>
              </w:rPr>
              <w:t xml:space="preserve"> 次</w:t>
            </w:r>
            <w:r>
              <w:rPr>
                <w:rFonts w:ascii="Times New Roman" w:hAnsi="Times New Roman"/>
              </w:rPr>
              <w:t>或必要时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pct"/>
          </w:tcPr>
          <w:p>
            <w:pPr>
              <w:snapToGrid w:val="0"/>
              <w:rPr>
                <w:rFonts w:ascii="Times New Roman" w:hAnsi="Times New Roman"/>
                <w:lang w:eastAsia="en-US"/>
              </w:rPr>
            </w:pPr>
            <w:r>
              <w:rPr>
                <w:rFonts w:ascii="Times New Roman" w:hAnsi="Times New Roman"/>
                <w:lang w:eastAsia="en-US"/>
              </w:rPr>
              <w:t>乳腺</w:t>
            </w:r>
            <w:r>
              <w:rPr>
                <w:rFonts w:ascii="Times New Roman" w:hAnsi="Times New Roman"/>
              </w:rPr>
              <w:t>X</w:t>
            </w:r>
            <w:r>
              <w:rPr>
                <w:rFonts w:ascii="Times New Roman" w:hAnsi="Times New Roman"/>
                <w:lang w:eastAsia="en-US"/>
              </w:rPr>
              <w:t>线</w:t>
            </w:r>
          </w:p>
        </w:tc>
        <w:tc>
          <w:tcPr>
            <w:tcW w:w="2700" w:type="pct"/>
          </w:tcPr>
          <w:p>
            <w:pPr>
              <w:snapToGrid w:val="0"/>
              <w:jc w:val="left"/>
              <w:rPr>
                <w:rFonts w:ascii="Times New Roman" w:hAnsi="Times New Roman"/>
              </w:rPr>
            </w:pPr>
            <w:r>
              <w:rPr>
                <w:rFonts w:ascii="Times New Roman" w:hAnsi="Times New Roman"/>
              </w:rPr>
              <w:t>0级</w:t>
            </w:r>
            <w:r>
              <w:rPr>
                <w:rFonts w:hint="eastAsia" w:ascii="Times New Roman" w:hAnsi="Times New Roman"/>
              </w:rPr>
              <w:t>：</w:t>
            </w:r>
            <w:r>
              <w:rPr>
                <w:rFonts w:ascii="Times New Roman" w:hAnsi="Times New Roman"/>
              </w:rPr>
              <w:t>需要结合其他影像学检查，与既往结果比较；1级：阴性无异常发现；2级：良性所见，无恶性征象；3级：良性可能大，建议随诊6~12个月，在随诊随访过程中出现增大者，建议活检；4级：可疑异常，建议活检；5级：高度怀疑恶性，建议活检及临床采取适当措施；6级已活检证实为恶性，应采取适当措施。</w:t>
            </w:r>
          </w:p>
        </w:tc>
        <w:tc>
          <w:tcPr>
            <w:tcW w:w="1453" w:type="pct"/>
          </w:tcPr>
          <w:p>
            <w:pPr>
              <w:snapToGrid w:val="0"/>
              <w:rPr>
                <w:rFonts w:ascii="Times New Roman" w:hAnsi="Times New Roman"/>
                <w:lang w:eastAsia="en-US"/>
              </w:rPr>
            </w:pPr>
            <w:r>
              <w:rPr>
                <w:rFonts w:ascii="Times New Roman" w:hAnsi="Times New Roman"/>
                <w:lang w:eastAsia="en-US"/>
              </w:rPr>
              <w:t>每</w:t>
            </w:r>
            <w:r>
              <w:rPr>
                <w:rFonts w:ascii="Times New Roman" w:hAnsi="Times New Roman"/>
              </w:rPr>
              <w:t>年1</w:t>
            </w:r>
            <w:r>
              <w:rPr>
                <w:rFonts w:ascii="Times New Roman" w:hAnsi="Times New Roman"/>
                <w:lang w:eastAsia="en-US"/>
              </w:rPr>
              <w:t xml:space="preserve"> 次</w:t>
            </w:r>
            <w:r>
              <w:rPr>
                <w:rFonts w:ascii="Times New Roman" w:hAnsi="Times New Roman"/>
              </w:rPr>
              <w:t>或必要时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pct"/>
          </w:tcPr>
          <w:p>
            <w:pPr>
              <w:snapToGrid w:val="0"/>
              <w:rPr>
                <w:rFonts w:ascii="Times New Roman" w:hAnsi="Times New Roman"/>
                <w:lang w:eastAsia="en-US"/>
              </w:rPr>
            </w:pPr>
            <w:r>
              <w:rPr>
                <w:rFonts w:ascii="Times New Roman" w:hAnsi="Times New Roman"/>
                <w:lang w:eastAsia="en-US"/>
              </w:rPr>
              <w:t>乳腺MRI</w:t>
            </w:r>
          </w:p>
        </w:tc>
        <w:tc>
          <w:tcPr>
            <w:tcW w:w="2700" w:type="pct"/>
          </w:tcPr>
          <w:p>
            <w:pPr>
              <w:snapToGrid w:val="0"/>
              <w:jc w:val="left"/>
              <w:rPr>
                <w:rFonts w:ascii="Times New Roman" w:hAnsi="Times New Roman"/>
              </w:rPr>
            </w:pPr>
            <w:r>
              <w:rPr>
                <w:rFonts w:ascii="Times New Roman" w:hAnsi="Times New Roman"/>
              </w:rPr>
              <w:t>0级:需要其他影像学检查进一步评估;1级:阴性;2级:良性。即使是1级或2级MRI评估，也建议每年MRI和乳腺X线摄影随访;3级:可能良性病灶，建议短期(6个月)随访;4级:可疑异常，需行组织学诊断；5级:高度可能恶性，应积极采取适当的诊断及处理措施；6级:已活检证实为恶性，应采取适当措施。</w:t>
            </w:r>
          </w:p>
        </w:tc>
        <w:tc>
          <w:tcPr>
            <w:tcW w:w="1453" w:type="pct"/>
          </w:tcPr>
          <w:p>
            <w:pPr>
              <w:snapToGrid w:val="0"/>
              <w:rPr>
                <w:rFonts w:ascii="Times New Roman" w:hAnsi="Times New Roman"/>
                <w:lang w:eastAsia="en-US"/>
              </w:rPr>
            </w:pPr>
            <w:r>
              <w:rPr>
                <w:rFonts w:ascii="Times New Roman" w:hAnsi="Times New Roman"/>
              </w:rPr>
              <w:t>每年1次或必要时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pct"/>
          </w:tcPr>
          <w:p>
            <w:pPr>
              <w:snapToGrid w:val="0"/>
              <w:rPr>
                <w:rFonts w:ascii="Times New Roman" w:hAnsi="Times New Roman"/>
                <w:lang w:eastAsia="en-US"/>
              </w:rPr>
            </w:pPr>
            <w:r>
              <w:rPr>
                <w:rFonts w:ascii="Times New Roman" w:hAnsi="Times New Roman"/>
                <w:lang w:eastAsia="en-US"/>
              </w:rPr>
              <w:t>胸片或胸部</w:t>
            </w:r>
            <w:r>
              <w:rPr>
                <w:rFonts w:ascii="Times New Roman" w:hAnsi="Times New Roman"/>
              </w:rPr>
              <w:t>CT</w:t>
            </w:r>
          </w:p>
        </w:tc>
        <w:tc>
          <w:tcPr>
            <w:tcW w:w="2700" w:type="pct"/>
          </w:tcPr>
          <w:p>
            <w:pPr>
              <w:snapToGrid w:val="0"/>
              <w:jc w:val="left"/>
              <w:rPr>
                <w:rFonts w:ascii="Times New Roman" w:hAnsi="Times New Roman"/>
              </w:rPr>
            </w:pPr>
            <w:r>
              <w:rPr>
                <w:rFonts w:ascii="Times New Roman" w:hAnsi="Times New Roman"/>
              </w:rPr>
              <w:t>排查有无肺转移、淋巴结转移、胸腔积液、胸膜增厚、心包积液、胸壁肿块等转移征象。</w:t>
            </w:r>
          </w:p>
        </w:tc>
        <w:tc>
          <w:tcPr>
            <w:tcW w:w="1453" w:type="pct"/>
          </w:tcPr>
          <w:p>
            <w:pPr>
              <w:snapToGrid w:val="0"/>
              <w:rPr>
                <w:rFonts w:ascii="Times New Roman" w:hAnsi="Times New Roman"/>
                <w:lang w:eastAsia="en-US"/>
              </w:rPr>
            </w:pPr>
            <w:r>
              <w:rPr>
                <w:rFonts w:ascii="Times New Roman" w:hAnsi="Times New Roman"/>
                <w:lang w:eastAsia="en-US"/>
              </w:rPr>
              <w:t>每</w:t>
            </w:r>
            <w:r>
              <w:rPr>
                <w:rFonts w:ascii="Times New Roman" w:hAnsi="Times New Roman"/>
              </w:rPr>
              <w:t>年1</w:t>
            </w:r>
            <w:r>
              <w:rPr>
                <w:rFonts w:ascii="Times New Roman" w:hAnsi="Times New Roman"/>
                <w:lang w:eastAsia="en-US"/>
              </w:rPr>
              <w:t xml:space="preserve"> 次</w:t>
            </w:r>
            <w:r>
              <w:rPr>
                <w:rFonts w:ascii="Times New Roman" w:hAnsi="Times New Roman"/>
              </w:rPr>
              <w:t>或必要时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46" w:type="pct"/>
          </w:tcPr>
          <w:p>
            <w:pPr>
              <w:snapToGrid w:val="0"/>
              <w:rPr>
                <w:rFonts w:ascii="Times New Roman" w:hAnsi="Times New Roman"/>
                <w:lang w:eastAsia="en-US"/>
              </w:rPr>
            </w:pPr>
            <w:r>
              <w:rPr>
                <w:rFonts w:ascii="Times New Roman" w:hAnsi="Times New Roman"/>
                <w:lang w:eastAsia="en-US"/>
              </w:rPr>
              <w:t>PET-CT</w:t>
            </w:r>
          </w:p>
        </w:tc>
        <w:tc>
          <w:tcPr>
            <w:tcW w:w="2700" w:type="pct"/>
          </w:tcPr>
          <w:p>
            <w:pPr>
              <w:snapToGrid w:val="0"/>
              <w:jc w:val="left"/>
              <w:rPr>
                <w:rFonts w:ascii="Times New Roman" w:hAnsi="Times New Roman"/>
              </w:rPr>
            </w:pPr>
            <w:r>
              <w:rPr>
                <w:rFonts w:ascii="Times New Roman" w:hAnsi="Times New Roman"/>
              </w:rPr>
              <w:t>排查有无全身转移病灶或明确转移范围</w:t>
            </w:r>
          </w:p>
        </w:tc>
        <w:tc>
          <w:tcPr>
            <w:tcW w:w="1453" w:type="pct"/>
          </w:tcPr>
          <w:p>
            <w:pPr>
              <w:snapToGrid w:val="0"/>
              <w:rPr>
                <w:rFonts w:ascii="Times New Roman" w:hAnsi="Times New Roman"/>
                <w:lang w:eastAsia="en-US"/>
              </w:rPr>
            </w:pPr>
            <w:r>
              <w:rPr>
                <w:rFonts w:ascii="Times New Roman" w:hAnsi="Times New Roman"/>
                <w:lang w:eastAsia="en-US"/>
              </w:rPr>
              <w:t>必要时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6" w:type="pct"/>
          </w:tcPr>
          <w:p>
            <w:pPr>
              <w:snapToGrid w:val="0"/>
              <w:rPr>
                <w:rFonts w:ascii="Times New Roman" w:hAnsi="Times New Roman"/>
                <w:lang w:eastAsia="en-US"/>
              </w:rPr>
            </w:pPr>
            <w:r>
              <w:rPr>
                <w:rFonts w:ascii="Times New Roman" w:hAnsi="Times New Roman"/>
                <w:lang w:eastAsia="en-US"/>
              </w:rPr>
              <w:t>脑部CT或MRI</w:t>
            </w:r>
          </w:p>
        </w:tc>
        <w:tc>
          <w:tcPr>
            <w:tcW w:w="2700" w:type="pct"/>
          </w:tcPr>
          <w:p>
            <w:pPr>
              <w:snapToGrid w:val="0"/>
              <w:jc w:val="left"/>
              <w:rPr>
                <w:rFonts w:ascii="Times New Roman" w:hAnsi="Times New Roman"/>
              </w:rPr>
            </w:pPr>
            <w:r>
              <w:rPr>
                <w:rFonts w:ascii="Times New Roman" w:hAnsi="Times New Roman"/>
              </w:rPr>
              <w:t>排查有无脑转移</w:t>
            </w:r>
          </w:p>
        </w:tc>
        <w:tc>
          <w:tcPr>
            <w:tcW w:w="1453" w:type="pct"/>
          </w:tcPr>
          <w:p>
            <w:pPr>
              <w:snapToGrid w:val="0"/>
              <w:rPr>
                <w:rFonts w:ascii="Times New Roman" w:hAnsi="Times New Roman"/>
              </w:rPr>
            </w:pPr>
            <w:r>
              <w:rPr>
                <w:rFonts w:ascii="Times New Roman" w:hAnsi="Times New Roman"/>
              </w:rPr>
              <w:t>在腋窝淋巴结转移＞4枚，或怀疑脑转移的患者；每年1次或必要时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pct"/>
          </w:tcPr>
          <w:p>
            <w:pPr>
              <w:snapToGrid w:val="0"/>
              <w:rPr>
                <w:rFonts w:ascii="Times New Roman" w:hAnsi="Times New Roman"/>
                <w:lang w:eastAsia="en-US"/>
              </w:rPr>
            </w:pPr>
            <w:r>
              <w:rPr>
                <w:rFonts w:ascii="Times New Roman" w:hAnsi="Times New Roman"/>
                <w:lang w:eastAsia="en-US"/>
              </w:rPr>
              <w:t>腹部超声</w:t>
            </w:r>
          </w:p>
        </w:tc>
        <w:tc>
          <w:tcPr>
            <w:tcW w:w="2700" w:type="pct"/>
          </w:tcPr>
          <w:p>
            <w:pPr>
              <w:snapToGrid w:val="0"/>
              <w:jc w:val="left"/>
              <w:rPr>
                <w:rFonts w:ascii="Times New Roman" w:hAnsi="Times New Roman"/>
              </w:rPr>
            </w:pPr>
            <w:r>
              <w:rPr>
                <w:rFonts w:ascii="Times New Roman" w:hAnsi="Times New Roman"/>
              </w:rPr>
              <w:t>排查有无肝脏占位、腹腔淋巴结肿大、腹水等转移征象。</w:t>
            </w:r>
          </w:p>
        </w:tc>
        <w:tc>
          <w:tcPr>
            <w:tcW w:w="1453" w:type="pct"/>
          </w:tcPr>
          <w:p>
            <w:pPr>
              <w:snapToGrid w:val="0"/>
              <w:rPr>
                <w:rFonts w:ascii="Times New Roman" w:hAnsi="Times New Roman"/>
              </w:rPr>
            </w:pPr>
            <w:r>
              <w:rPr>
                <w:rFonts w:ascii="Times New Roman" w:hAnsi="Times New Roman"/>
              </w:rPr>
              <w:t>每6个月1次，3 年后每年1 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pct"/>
          </w:tcPr>
          <w:p>
            <w:pPr>
              <w:snapToGrid w:val="0"/>
              <w:rPr>
                <w:rFonts w:ascii="Times New Roman" w:hAnsi="Times New Roman"/>
                <w:lang w:eastAsia="en-US"/>
              </w:rPr>
            </w:pPr>
            <w:r>
              <w:rPr>
                <w:rFonts w:ascii="Times New Roman" w:hAnsi="Times New Roman"/>
                <w:lang w:eastAsia="en-US"/>
              </w:rPr>
              <w:t>骨密度检测</w:t>
            </w:r>
          </w:p>
        </w:tc>
        <w:tc>
          <w:tcPr>
            <w:tcW w:w="2700" w:type="pct"/>
          </w:tcPr>
          <w:p>
            <w:pPr>
              <w:snapToGrid w:val="0"/>
              <w:jc w:val="left"/>
              <w:rPr>
                <w:rFonts w:ascii="Times New Roman" w:hAnsi="Times New Roman"/>
              </w:rPr>
            </w:pPr>
            <w:r>
              <w:rPr>
                <w:rFonts w:ascii="Times New Roman" w:hAnsi="Times New Roman"/>
              </w:rPr>
              <w:t>参考各医技科室正常值范围</w:t>
            </w:r>
          </w:p>
        </w:tc>
        <w:tc>
          <w:tcPr>
            <w:tcW w:w="1453" w:type="pct"/>
          </w:tcPr>
          <w:p>
            <w:pPr>
              <w:snapToGrid w:val="0"/>
              <w:rPr>
                <w:rFonts w:ascii="Times New Roman" w:hAnsi="Times New Roman"/>
                <w:lang w:eastAsia="en-US"/>
              </w:rPr>
            </w:pPr>
            <w:r>
              <w:rPr>
                <w:rFonts w:ascii="Times New Roman" w:hAnsi="Times New Roman"/>
                <w:lang w:eastAsia="en-US"/>
              </w:rPr>
              <w:t>每6-12个月1次。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pct"/>
          </w:tcPr>
          <w:p>
            <w:pPr>
              <w:snapToGrid w:val="0"/>
              <w:rPr>
                <w:rFonts w:ascii="Times New Roman" w:hAnsi="Times New Roman"/>
                <w:lang w:eastAsia="en-US"/>
              </w:rPr>
            </w:pPr>
            <w:r>
              <w:rPr>
                <w:rFonts w:ascii="Times New Roman" w:hAnsi="Times New Roman"/>
                <w:lang w:eastAsia="en-US"/>
              </w:rPr>
              <w:t>骨扫描</w:t>
            </w:r>
          </w:p>
        </w:tc>
        <w:tc>
          <w:tcPr>
            <w:tcW w:w="2700" w:type="pct"/>
          </w:tcPr>
          <w:p>
            <w:pPr>
              <w:snapToGrid w:val="0"/>
              <w:jc w:val="left"/>
              <w:rPr>
                <w:rFonts w:ascii="Times New Roman" w:hAnsi="Times New Roman"/>
              </w:rPr>
            </w:pPr>
            <w:r>
              <w:rPr>
                <w:rFonts w:ascii="Times New Roman" w:hAnsi="Times New Roman"/>
              </w:rPr>
              <w:t>骨转移可见局部骨组织代谢异常。</w:t>
            </w:r>
          </w:p>
        </w:tc>
        <w:tc>
          <w:tcPr>
            <w:tcW w:w="1453" w:type="pct"/>
          </w:tcPr>
          <w:p>
            <w:pPr>
              <w:snapToGrid w:val="0"/>
              <w:rPr>
                <w:rFonts w:ascii="Times New Roman" w:hAnsi="Times New Roman"/>
              </w:rPr>
            </w:pPr>
            <w:r>
              <w:rPr>
                <w:rFonts w:ascii="Times New Roman" w:hAnsi="Times New Roman"/>
              </w:rPr>
              <w:t>存在腋窝淋巴结转移＞4枚等高危因素的患者，行基线骨扫描检查，必要时全身骨扫描每 1~2年1次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pct"/>
          </w:tcPr>
          <w:p>
            <w:pPr>
              <w:snapToGrid w:val="0"/>
              <w:rPr>
                <w:rFonts w:ascii="Times New Roman" w:hAnsi="Times New Roman"/>
              </w:rPr>
            </w:pPr>
            <w:r>
              <w:rPr>
                <w:rFonts w:ascii="Times New Roman" w:hAnsi="Times New Roman"/>
                <w:lang w:eastAsia="en-US"/>
              </w:rPr>
              <w:t>心电图</w:t>
            </w:r>
          </w:p>
        </w:tc>
        <w:tc>
          <w:tcPr>
            <w:tcW w:w="2700" w:type="pct"/>
          </w:tcPr>
          <w:p>
            <w:pPr>
              <w:snapToGrid w:val="0"/>
              <w:jc w:val="left"/>
              <w:rPr>
                <w:rFonts w:ascii="Times New Roman" w:hAnsi="Times New Roman"/>
              </w:rPr>
            </w:pPr>
            <w:r>
              <w:rPr>
                <w:rFonts w:ascii="Times New Roman" w:hAnsi="Times New Roman"/>
              </w:rPr>
              <w:t>参考各医技科室正常值范围。</w:t>
            </w:r>
          </w:p>
        </w:tc>
        <w:tc>
          <w:tcPr>
            <w:tcW w:w="1453" w:type="pct"/>
          </w:tcPr>
          <w:p>
            <w:pPr>
              <w:snapToGrid w:val="0"/>
              <w:rPr>
                <w:rFonts w:ascii="Times New Roman" w:hAnsi="Times New Roman"/>
              </w:rPr>
            </w:pPr>
            <w:r>
              <w:rPr>
                <w:rFonts w:ascii="Times New Roman" w:hAnsi="Times New Roman"/>
              </w:rPr>
              <w:t>每6个月1次，3年后每年1次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pct"/>
          </w:tcPr>
          <w:p>
            <w:pPr>
              <w:snapToGrid w:val="0"/>
              <w:rPr>
                <w:rFonts w:ascii="Times New Roman" w:hAnsi="Times New Roman"/>
                <w:lang w:eastAsia="en-US"/>
              </w:rPr>
            </w:pPr>
            <w:r>
              <w:rPr>
                <w:rFonts w:ascii="Times New Roman" w:hAnsi="Times New Roman"/>
              </w:rPr>
              <w:t>超声心动图</w:t>
            </w:r>
          </w:p>
        </w:tc>
        <w:tc>
          <w:tcPr>
            <w:tcW w:w="2700" w:type="pct"/>
          </w:tcPr>
          <w:p>
            <w:pPr>
              <w:snapToGrid w:val="0"/>
              <w:jc w:val="left"/>
              <w:rPr>
                <w:rFonts w:ascii="Times New Roman" w:hAnsi="Times New Roman"/>
              </w:rPr>
            </w:pPr>
            <w:r>
              <w:rPr>
                <w:rFonts w:ascii="Times New Roman" w:hAnsi="Times New Roman"/>
              </w:rPr>
              <w:t>参考各医技科室正常值范围。</w:t>
            </w:r>
          </w:p>
        </w:tc>
        <w:tc>
          <w:tcPr>
            <w:tcW w:w="1453" w:type="pct"/>
          </w:tcPr>
          <w:p>
            <w:pPr>
              <w:snapToGrid w:val="0"/>
              <w:rPr>
                <w:rFonts w:ascii="Times New Roman" w:hAnsi="Times New Roman"/>
              </w:rPr>
            </w:pPr>
            <w:r>
              <w:rPr>
                <w:rFonts w:ascii="Times New Roman" w:hAnsi="Times New Roman"/>
              </w:rPr>
              <w:t>每6个月1次，3年后每年1次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pct"/>
          </w:tcPr>
          <w:p>
            <w:pPr>
              <w:snapToGrid w:val="0"/>
              <w:rPr>
                <w:rFonts w:ascii="Times New Roman" w:hAnsi="Times New Roman"/>
                <w:lang w:eastAsia="en-US"/>
              </w:rPr>
            </w:pPr>
            <w:r>
              <w:rPr>
                <w:rFonts w:ascii="Times New Roman" w:hAnsi="Times New Roman"/>
              </w:rPr>
              <w:t>血常规、生化</w:t>
            </w:r>
          </w:p>
        </w:tc>
        <w:tc>
          <w:tcPr>
            <w:tcW w:w="2700" w:type="pct"/>
          </w:tcPr>
          <w:p>
            <w:pPr>
              <w:snapToGrid w:val="0"/>
              <w:jc w:val="left"/>
              <w:rPr>
                <w:rFonts w:ascii="Times New Roman" w:hAnsi="Times New Roman"/>
              </w:rPr>
            </w:pPr>
            <w:r>
              <w:rPr>
                <w:rFonts w:ascii="Times New Roman" w:hAnsi="Times New Roman"/>
              </w:rPr>
              <w:t>参考各医技科室正常值范围。</w:t>
            </w:r>
          </w:p>
        </w:tc>
        <w:tc>
          <w:tcPr>
            <w:tcW w:w="1453" w:type="pct"/>
          </w:tcPr>
          <w:p>
            <w:pPr>
              <w:snapToGrid w:val="0"/>
              <w:rPr>
                <w:rFonts w:ascii="Times New Roman" w:hAnsi="Times New Roman"/>
              </w:rPr>
            </w:pPr>
            <w:r>
              <w:rPr>
                <w:rFonts w:ascii="Times New Roman" w:hAnsi="Times New Roman"/>
              </w:rPr>
              <w:t>每6个月1次，3年后每年1次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pct"/>
          </w:tcPr>
          <w:p>
            <w:pPr>
              <w:snapToGrid w:val="0"/>
              <w:rPr>
                <w:rFonts w:ascii="Times New Roman" w:hAnsi="Times New Roman"/>
                <w:lang w:eastAsia="en-US"/>
              </w:rPr>
            </w:pPr>
            <w:r>
              <w:rPr>
                <w:rFonts w:ascii="Times New Roman" w:hAnsi="Times New Roman"/>
              </w:rPr>
              <w:t>乳腺肿瘤标志物</w:t>
            </w:r>
          </w:p>
        </w:tc>
        <w:tc>
          <w:tcPr>
            <w:tcW w:w="2700" w:type="pct"/>
          </w:tcPr>
          <w:p>
            <w:pPr>
              <w:snapToGrid w:val="0"/>
              <w:jc w:val="left"/>
              <w:rPr>
                <w:rFonts w:ascii="Times New Roman" w:hAnsi="Times New Roman"/>
              </w:rPr>
            </w:pPr>
            <w:r>
              <w:rPr>
                <w:rFonts w:ascii="Times New Roman" w:hAnsi="Times New Roman"/>
              </w:rPr>
              <w:t>如CEA、CA125、CA153等，参考各医技科室正常值范围。</w:t>
            </w:r>
          </w:p>
        </w:tc>
        <w:tc>
          <w:tcPr>
            <w:tcW w:w="1453" w:type="pct"/>
          </w:tcPr>
          <w:p>
            <w:pPr>
              <w:snapToGrid w:val="0"/>
              <w:rPr>
                <w:rFonts w:ascii="Times New Roman" w:hAnsi="Times New Roman"/>
              </w:rPr>
            </w:pPr>
            <w:r>
              <w:rPr>
                <w:rFonts w:ascii="Times New Roman" w:hAnsi="Times New Roman"/>
              </w:rPr>
              <w:t>每6个月1次，3年后每年1次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pct"/>
          </w:tcPr>
          <w:p>
            <w:pPr>
              <w:snapToGrid w:val="0"/>
              <w:rPr>
                <w:rFonts w:ascii="Times New Roman" w:hAnsi="Times New Roman"/>
              </w:rPr>
            </w:pPr>
            <w:r>
              <w:rPr>
                <w:rFonts w:ascii="Times New Roman" w:hAnsi="Times New Roman"/>
              </w:rPr>
              <w:t>心肌标志物</w:t>
            </w:r>
          </w:p>
        </w:tc>
        <w:tc>
          <w:tcPr>
            <w:tcW w:w="2700" w:type="pct"/>
          </w:tcPr>
          <w:p>
            <w:pPr>
              <w:snapToGrid w:val="0"/>
              <w:jc w:val="left"/>
              <w:rPr>
                <w:rFonts w:ascii="Times New Roman" w:hAnsi="Times New Roman"/>
              </w:rPr>
            </w:pPr>
            <w:r>
              <w:rPr>
                <w:rFonts w:ascii="Times New Roman" w:hAnsi="Times New Roman"/>
              </w:rPr>
              <w:t>参考各医技科室正常值范围。</w:t>
            </w:r>
          </w:p>
        </w:tc>
        <w:tc>
          <w:tcPr>
            <w:tcW w:w="1453" w:type="pct"/>
          </w:tcPr>
          <w:p>
            <w:pPr>
              <w:snapToGrid w:val="0"/>
              <w:rPr>
                <w:rFonts w:ascii="Times New Roman" w:hAnsi="Times New Roman"/>
              </w:rPr>
            </w:pPr>
            <w:r>
              <w:rPr>
                <w:rFonts w:ascii="Times New Roman" w:hAnsi="Times New Roman"/>
              </w:rPr>
              <w:t>每6个月1次，3年后每年1次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pct"/>
          </w:tcPr>
          <w:p>
            <w:pPr>
              <w:snapToGrid w:val="0"/>
              <w:rPr>
                <w:rFonts w:ascii="Times New Roman" w:hAnsi="Times New Roman"/>
              </w:rPr>
            </w:pPr>
            <w:r>
              <w:rPr>
                <w:rFonts w:ascii="Times New Roman" w:hAnsi="Times New Roman"/>
                <w:lang w:eastAsia="en-US"/>
              </w:rPr>
              <w:t>妇科检查</w:t>
            </w:r>
          </w:p>
        </w:tc>
        <w:tc>
          <w:tcPr>
            <w:tcW w:w="2700" w:type="pct"/>
          </w:tcPr>
          <w:p>
            <w:pPr>
              <w:snapToGrid w:val="0"/>
              <w:jc w:val="left"/>
              <w:rPr>
                <w:rFonts w:ascii="Times New Roman" w:hAnsi="Times New Roman"/>
              </w:rPr>
            </w:pPr>
            <w:r>
              <w:rPr>
                <w:rFonts w:ascii="Times New Roman" w:hAnsi="Times New Roman"/>
              </w:rPr>
              <w:t>子宫＋双侧附件（应用他莫昔芬者需检查有无子宫内膜增厚，排查子宫内膜癌）</w:t>
            </w:r>
          </w:p>
        </w:tc>
        <w:tc>
          <w:tcPr>
            <w:tcW w:w="1453" w:type="pct"/>
          </w:tcPr>
          <w:p>
            <w:pPr>
              <w:snapToGrid w:val="0"/>
              <w:rPr>
                <w:rFonts w:ascii="Times New Roman" w:hAnsi="Times New Roman"/>
              </w:rPr>
            </w:pPr>
            <w:r>
              <w:rPr>
                <w:rFonts w:ascii="Times New Roman" w:hAnsi="Times New Roman"/>
              </w:rPr>
              <w:t>应用他莫昔芬的患者每年1次</w:t>
            </w:r>
          </w:p>
        </w:tc>
      </w:tr>
    </w:tbl>
    <w:p>
      <w:pPr>
        <w:pStyle w:val="56"/>
        <w:ind w:firstLine="0" w:firstLineChars="0"/>
      </w:pPr>
    </w:p>
    <w:p>
      <w:pPr>
        <w:pStyle w:val="56"/>
        <w:ind w:firstLine="420"/>
      </w:pPr>
    </w:p>
    <w:p>
      <w:pPr>
        <w:pStyle w:val="56"/>
        <w:ind w:firstLine="420"/>
      </w:pPr>
    </w:p>
    <w:p>
      <w:pPr>
        <w:pStyle w:val="56"/>
        <w:ind w:firstLine="42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pPr>
    </w:p>
    <w:p>
      <w:pPr>
        <w:pStyle w:val="199"/>
      </w:pPr>
    </w:p>
    <w:p>
      <w:pPr>
        <w:pStyle w:val="76"/>
        <w:spacing w:before="78" w:after="156"/>
        <w:ind w:left="0"/>
      </w:pPr>
      <w:r>
        <w:br w:type="textWrapping"/>
      </w:r>
      <w:bookmarkStart w:id="81" w:name="_Toc170288785"/>
      <w:r>
        <w:rPr>
          <w:rFonts w:hint="eastAsia"/>
        </w:rPr>
        <w:t>（资料性）</w:t>
      </w:r>
      <w:r>
        <w:br w:type="textWrapping"/>
      </w:r>
      <w:r>
        <w:rPr>
          <w:rFonts w:ascii="Times New Roman"/>
          <w:szCs w:val="21"/>
        </w:rPr>
        <w:t>9条目病人健康问</w:t>
      </w:r>
      <w:r>
        <w:rPr>
          <w:rFonts w:hint="eastAsia" w:ascii="Times New Roman"/>
          <w:szCs w:val="21"/>
        </w:rPr>
        <w:t>卷</w:t>
      </w:r>
      <w:bookmarkEnd w:id="81"/>
    </w:p>
    <w:tbl>
      <w:tblPr>
        <w:tblStyle w:val="27"/>
        <w:tblW w:w="101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2"/>
        <w:gridCol w:w="1294"/>
        <w:gridCol w:w="2990"/>
        <w:gridCol w:w="1084"/>
        <w:gridCol w:w="950"/>
        <w:gridCol w:w="1518"/>
        <w:gridCol w:w="1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5466" w:type="dxa"/>
            <w:gridSpan w:val="3"/>
            <w:vMerge w:val="restart"/>
          </w:tcPr>
          <w:p>
            <w:pPr>
              <w:ind w:firstLine="420" w:firstLineChars="200"/>
              <w:jc w:val="center"/>
              <w:rPr>
                <w:rFonts w:ascii="Times New Roman" w:hAnsi="Times New Roman"/>
              </w:rPr>
            </w:pPr>
            <w:r>
              <w:rPr>
                <w:rFonts w:ascii="Times New Roman" w:hAnsi="Times New Roman"/>
              </w:rPr>
              <w:t>问题</w:t>
            </w:r>
          </w:p>
        </w:tc>
        <w:tc>
          <w:tcPr>
            <w:tcW w:w="4641" w:type="dxa"/>
            <w:gridSpan w:val="4"/>
          </w:tcPr>
          <w:p>
            <w:pPr>
              <w:ind w:firstLine="420" w:firstLineChars="200"/>
              <w:jc w:val="center"/>
              <w:rPr>
                <w:rFonts w:ascii="Times New Roman" w:hAnsi="Times New Roman"/>
              </w:rPr>
            </w:pPr>
            <w:r>
              <w:rPr>
                <w:rFonts w:ascii="Times New Roman" w:hAnsi="Times New Roman"/>
              </w:rPr>
              <w:t>选项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5466" w:type="dxa"/>
            <w:gridSpan w:val="3"/>
            <w:vMerge w:val="continue"/>
          </w:tcPr>
          <w:p>
            <w:pPr>
              <w:ind w:firstLine="420" w:firstLineChars="200"/>
              <w:jc w:val="center"/>
              <w:rPr>
                <w:rFonts w:ascii="Times New Roman" w:hAnsi="Times New Roman"/>
                <w:lang w:eastAsia="en-US"/>
              </w:rPr>
            </w:pPr>
          </w:p>
        </w:tc>
        <w:tc>
          <w:tcPr>
            <w:tcW w:w="1084" w:type="dxa"/>
          </w:tcPr>
          <w:p>
            <w:pPr>
              <w:jc w:val="center"/>
              <w:rPr>
                <w:rFonts w:ascii="Times New Roman" w:hAnsi="Times New Roman"/>
              </w:rPr>
            </w:pPr>
            <w:r>
              <w:rPr>
                <w:rFonts w:ascii="Times New Roman" w:hAnsi="Times New Roman"/>
              </w:rPr>
              <w:t>0分</w:t>
            </w:r>
          </w:p>
        </w:tc>
        <w:tc>
          <w:tcPr>
            <w:tcW w:w="950" w:type="dxa"/>
          </w:tcPr>
          <w:p>
            <w:pPr>
              <w:jc w:val="center"/>
              <w:rPr>
                <w:rFonts w:ascii="Times New Roman" w:hAnsi="Times New Roman"/>
              </w:rPr>
            </w:pPr>
            <w:r>
              <w:rPr>
                <w:rFonts w:ascii="Times New Roman" w:hAnsi="Times New Roman"/>
              </w:rPr>
              <w:t>1分</w:t>
            </w:r>
          </w:p>
        </w:tc>
        <w:tc>
          <w:tcPr>
            <w:tcW w:w="1518" w:type="dxa"/>
          </w:tcPr>
          <w:p>
            <w:pPr>
              <w:jc w:val="center"/>
              <w:rPr>
                <w:rFonts w:ascii="Times New Roman" w:hAnsi="Times New Roman"/>
              </w:rPr>
            </w:pPr>
            <w:r>
              <w:rPr>
                <w:rFonts w:ascii="Times New Roman" w:hAnsi="Times New Roman"/>
              </w:rPr>
              <w:t>2分</w:t>
            </w:r>
          </w:p>
        </w:tc>
        <w:tc>
          <w:tcPr>
            <w:tcW w:w="1089" w:type="dxa"/>
          </w:tcPr>
          <w:p>
            <w:pPr>
              <w:jc w:val="center"/>
              <w:rPr>
                <w:rFonts w:ascii="Times New Roman" w:hAnsi="Times New Roman"/>
              </w:rPr>
            </w:pPr>
            <w:r>
              <w:rPr>
                <w:rFonts w:ascii="Times New Roman" w:hAnsi="Times New Roman"/>
              </w:rPr>
              <w:t>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07" w:type="dxa"/>
            <w:gridSpan w:val="7"/>
          </w:tcPr>
          <w:p>
            <w:pPr>
              <w:rPr>
                <w:rFonts w:ascii="Times New Roman" w:hAnsi="Times New Roman"/>
              </w:rPr>
            </w:pPr>
            <w:r>
              <w:rPr>
                <w:rFonts w:ascii="Times New Roman" w:hAnsi="Times New Roman"/>
              </w:rPr>
              <w:t>根据过去2周情况，请您回答是否存在下列描述的状况及频率，请看清楚问题后在符合您的选项前的数字上面画“√”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6" w:type="dxa"/>
            <w:gridSpan w:val="3"/>
          </w:tcPr>
          <w:p>
            <w:pPr>
              <w:numPr>
                <w:ilvl w:val="0"/>
                <w:numId w:val="35"/>
              </w:numPr>
              <w:adjustRightInd/>
              <w:spacing w:line="240" w:lineRule="auto"/>
              <w:rPr>
                <w:rFonts w:ascii="Times New Roman" w:hAnsi="Times New Roman"/>
              </w:rPr>
            </w:pPr>
            <w:r>
              <w:rPr>
                <w:rFonts w:ascii="Times New Roman" w:hAnsi="Times New Roman"/>
              </w:rPr>
              <w:t>做事时提不起劲或没有兴趣</w:t>
            </w:r>
          </w:p>
        </w:tc>
        <w:tc>
          <w:tcPr>
            <w:tcW w:w="1084" w:type="dxa"/>
          </w:tcPr>
          <w:p>
            <w:pPr>
              <w:widowControl/>
              <w:jc w:val="left"/>
              <w:rPr>
                <w:rFonts w:ascii="Times New Roman" w:hAnsi="Times New Roman"/>
                <w:kern w:val="0"/>
              </w:rPr>
            </w:pPr>
            <w:r>
              <w:rPr>
                <w:rFonts w:ascii="Times New Roman" w:hAnsi="Times New Roman"/>
                <w:kern w:val="0"/>
              </w:rPr>
              <w:t xml:space="preserve">完全不会 </w:t>
            </w:r>
          </w:p>
        </w:tc>
        <w:tc>
          <w:tcPr>
            <w:tcW w:w="950" w:type="dxa"/>
          </w:tcPr>
          <w:p>
            <w:pPr>
              <w:widowControl/>
              <w:jc w:val="left"/>
              <w:rPr>
                <w:rFonts w:ascii="Times New Roman" w:hAnsi="Times New Roman"/>
                <w:kern w:val="0"/>
              </w:rPr>
            </w:pPr>
            <w:r>
              <w:rPr>
                <w:rFonts w:ascii="Times New Roman" w:hAnsi="Times New Roman"/>
                <w:kern w:val="0"/>
              </w:rPr>
              <w:t>好几天</w:t>
            </w:r>
          </w:p>
        </w:tc>
        <w:tc>
          <w:tcPr>
            <w:tcW w:w="1518" w:type="dxa"/>
          </w:tcPr>
          <w:p>
            <w:pPr>
              <w:widowControl/>
              <w:jc w:val="left"/>
              <w:rPr>
                <w:rFonts w:ascii="Times New Roman" w:hAnsi="Times New Roman"/>
                <w:kern w:val="0"/>
              </w:rPr>
            </w:pPr>
            <w:r>
              <w:rPr>
                <w:rFonts w:ascii="Times New Roman" w:hAnsi="Times New Roman"/>
                <w:kern w:val="0"/>
              </w:rPr>
              <w:t>一半以上天数</w:t>
            </w:r>
          </w:p>
        </w:tc>
        <w:tc>
          <w:tcPr>
            <w:tcW w:w="1089" w:type="dxa"/>
          </w:tcPr>
          <w:p>
            <w:pPr>
              <w:widowControl/>
              <w:jc w:val="left"/>
              <w:rPr>
                <w:rFonts w:ascii="Times New Roman" w:hAnsi="Times New Roman"/>
                <w:kern w:val="0"/>
              </w:rPr>
            </w:pPr>
            <w:r>
              <w:rPr>
                <w:rFonts w:ascii="Times New Roman" w:hAnsi="Times New Roman"/>
                <w:kern w:val="0"/>
              </w:rPr>
              <w:t>几乎每天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6" w:type="dxa"/>
            <w:gridSpan w:val="3"/>
          </w:tcPr>
          <w:p>
            <w:pPr>
              <w:numPr>
                <w:ilvl w:val="0"/>
                <w:numId w:val="35"/>
              </w:numPr>
              <w:adjustRightInd/>
              <w:spacing w:line="240" w:lineRule="auto"/>
              <w:rPr>
                <w:rFonts w:ascii="Times New Roman" w:hAnsi="Times New Roman"/>
              </w:rPr>
            </w:pPr>
            <w:r>
              <w:rPr>
                <w:rFonts w:ascii="Times New Roman" w:hAnsi="Times New Roman"/>
              </w:rPr>
              <w:t>感到心情低落、沮丧或绝望</w:t>
            </w:r>
          </w:p>
        </w:tc>
        <w:tc>
          <w:tcPr>
            <w:tcW w:w="1084" w:type="dxa"/>
          </w:tcPr>
          <w:p>
            <w:pPr>
              <w:widowControl/>
              <w:jc w:val="left"/>
              <w:rPr>
                <w:rFonts w:ascii="Times New Roman" w:hAnsi="Times New Roman"/>
                <w:kern w:val="0"/>
              </w:rPr>
            </w:pPr>
            <w:r>
              <w:rPr>
                <w:rFonts w:ascii="Times New Roman" w:hAnsi="Times New Roman"/>
                <w:kern w:val="0"/>
              </w:rPr>
              <w:t xml:space="preserve">完全不会 </w:t>
            </w:r>
          </w:p>
        </w:tc>
        <w:tc>
          <w:tcPr>
            <w:tcW w:w="950" w:type="dxa"/>
          </w:tcPr>
          <w:p>
            <w:pPr>
              <w:widowControl/>
              <w:jc w:val="left"/>
              <w:rPr>
                <w:rFonts w:ascii="Times New Roman" w:hAnsi="Times New Roman"/>
                <w:kern w:val="0"/>
              </w:rPr>
            </w:pPr>
            <w:r>
              <w:rPr>
                <w:rFonts w:ascii="Times New Roman" w:hAnsi="Times New Roman"/>
                <w:kern w:val="0"/>
              </w:rPr>
              <w:t>好几天</w:t>
            </w:r>
          </w:p>
        </w:tc>
        <w:tc>
          <w:tcPr>
            <w:tcW w:w="1518" w:type="dxa"/>
          </w:tcPr>
          <w:p>
            <w:pPr>
              <w:widowControl/>
              <w:jc w:val="left"/>
              <w:rPr>
                <w:rFonts w:ascii="Times New Roman" w:hAnsi="Times New Roman"/>
                <w:kern w:val="0"/>
              </w:rPr>
            </w:pPr>
            <w:r>
              <w:rPr>
                <w:rFonts w:ascii="Times New Roman" w:hAnsi="Times New Roman"/>
                <w:kern w:val="0"/>
              </w:rPr>
              <w:t>一半以上天数</w:t>
            </w:r>
          </w:p>
        </w:tc>
        <w:tc>
          <w:tcPr>
            <w:tcW w:w="1089" w:type="dxa"/>
          </w:tcPr>
          <w:p>
            <w:pPr>
              <w:widowControl/>
              <w:jc w:val="left"/>
              <w:rPr>
                <w:rFonts w:ascii="Times New Roman" w:hAnsi="Times New Roman"/>
                <w:kern w:val="0"/>
              </w:rPr>
            </w:pPr>
            <w:r>
              <w:rPr>
                <w:rFonts w:ascii="Times New Roman" w:hAnsi="Times New Roman"/>
                <w:kern w:val="0"/>
              </w:rPr>
              <w:t>几乎每天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6" w:type="dxa"/>
            <w:gridSpan w:val="3"/>
          </w:tcPr>
          <w:p>
            <w:pPr>
              <w:numPr>
                <w:ilvl w:val="0"/>
                <w:numId w:val="35"/>
              </w:numPr>
              <w:adjustRightInd/>
              <w:spacing w:line="240" w:lineRule="auto"/>
              <w:rPr>
                <w:rFonts w:ascii="Times New Roman" w:hAnsi="Times New Roman"/>
              </w:rPr>
            </w:pPr>
            <w:r>
              <w:rPr>
                <w:rFonts w:ascii="Times New Roman" w:hAnsi="Times New Roman"/>
              </w:rPr>
              <w:t>入睡困难、睡不安稳或睡眠过多</w:t>
            </w:r>
          </w:p>
        </w:tc>
        <w:tc>
          <w:tcPr>
            <w:tcW w:w="1084" w:type="dxa"/>
          </w:tcPr>
          <w:p>
            <w:pPr>
              <w:widowControl/>
              <w:jc w:val="left"/>
              <w:rPr>
                <w:rFonts w:ascii="Times New Roman" w:hAnsi="Times New Roman"/>
                <w:kern w:val="0"/>
              </w:rPr>
            </w:pPr>
            <w:r>
              <w:rPr>
                <w:rFonts w:ascii="Times New Roman" w:hAnsi="Times New Roman"/>
                <w:kern w:val="0"/>
              </w:rPr>
              <w:t xml:space="preserve">完全不会 </w:t>
            </w:r>
          </w:p>
        </w:tc>
        <w:tc>
          <w:tcPr>
            <w:tcW w:w="950" w:type="dxa"/>
          </w:tcPr>
          <w:p>
            <w:pPr>
              <w:widowControl/>
              <w:jc w:val="left"/>
              <w:rPr>
                <w:rFonts w:ascii="Times New Roman" w:hAnsi="Times New Roman"/>
                <w:kern w:val="0"/>
              </w:rPr>
            </w:pPr>
            <w:r>
              <w:rPr>
                <w:rFonts w:ascii="Times New Roman" w:hAnsi="Times New Roman"/>
                <w:kern w:val="0"/>
              </w:rPr>
              <w:t>好几天</w:t>
            </w:r>
          </w:p>
        </w:tc>
        <w:tc>
          <w:tcPr>
            <w:tcW w:w="1518" w:type="dxa"/>
          </w:tcPr>
          <w:p>
            <w:pPr>
              <w:widowControl/>
              <w:jc w:val="left"/>
              <w:rPr>
                <w:rFonts w:ascii="Times New Roman" w:hAnsi="Times New Roman"/>
                <w:kern w:val="0"/>
              </w:rPr>
            </w:pPr>
            <w:r>
              <w:rPr>
                <w:rFonts w:ascii="Times New Roman" w:hAnsi="Times New Roman"/>
                <w:kern w:val="0"/>
              </w:rPr>
              <w:t>一半以上天数</w:t>
            </w:r>
          </w:p>
        </w:tc>
        <w:tc>
          <w:tcPr>
            <w:tcW w:w="1089" w:type="dxa"/>
          </w:tcPr>
          <w:p>
            <w:pPr>
              <w:widowControl/>
              <w:jc w:val="left"/>
              <w:rPr>
                <w:rFonts w:ascii="Times New Roman" w:hAnsi="Times New Roman"/>
                <w:kern w:val="0"/>
              </w:rPr>
            </w:pPr>
            <w:r>
              <w:rPr>
                <w:rFonts w:ascii="Times New Roman" w:hAnsi="Times New Roman"/>
                <w:kern w:val="0"/>
              </w:rPr>
              <w:t>几乎每天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6" w:type="dxa"/>
            <w:gridSpan w:val="3"/>
          </w:tcPr>
          <w:p>
            <w:pPr>
              <w:numPr>
                <w:ilvl w:val="0"/>
                <w:numId w:val="35"/>
              </w:numPr>
              <w:adjustRightInd/>
              <w:spacing w:line="240" w:lineRule="auto"/>
              <w:rPr>
                <w:rFonts w:ascii="Times New Roman" w:hAnsi="Times New Roman"/>
              </w:rPr>
            </w:pPr>
            <w:r>
              <w:rPr>
                <w:rFonts w:ascii="Times New Roman" w:hAnsi="Times New Roman"/>
              </w:rPr>
              <w:t>感觉疲倦或没有活力</w:t>
            </w:r>
          </w:p>
        </w:tc>
        <w:tc>
          <w:tcPr>
            <w:tcW w:w="1084" w:type="dxa"/>
          </w:tcPr>
          <w:p>
            <w:pPr>
              <w:widowControl/>
              <w:jc w:val="left"/>
              <w:rPr>
                <w:rFonts w:ascii="Times New Roman" w:hAnsi="Times New Roman"/>
                <w:kern w:val="0"/>
              </w:rPr>
            </w:pPr>
            <w:r>
              <w:rPr>
                <w:rFonts w:ascii="Times New Roman" w:hAnsi="Times New Roman"/>
                <w:kern w:val="0"/>
              </w:rPr>
              <w:t xml:space="preserve">完全不会 </w:t>
            </w:r>
          </w:p>
        </w:tc>
        <w:tc>
          <w:tcPr>
            <w:tcW w:w="950" w:type="dxa"/>
          </w:tcPr>
          <w:p>
            <w:pPr>
              <w:widowControl/>
              <w:jc w:val="left"/>
              <w:rPr>
                <w:rFonts w:ascii="Times New Roman" w:hAnsi="Times New Roman"/>
                <w:kern w:val="0"/>
              </w:rPr>
            </w:pPr>
            <w:r>
              <w:rPr>
                <w:rFonts w:ascii="Times New Roman" w:hAnsi="Times New Roman"/>
                <w:kern w:val="0"/>
              </w:rPr>
              <w:t>好几天</w:t>
            </w:r>
          </w:p>
        </w:tc>
        <w:tc>
          <w:tcPr>
            <w:tcW w:w="1518" w:type="dxa"/>
          </w:tcPr>
          <w:p>
            <w:pPr>
              <w:widowControl/>
              <w:jc w:val="left"/>
              <w:rPr>
                <w:rFonts w:ascii="Times New Roman" w:hAnsi="Times New Roman"/>
                <w:kern w:val="0"/>
              </w:rPr>
            </w:pPr>
            <w:r>
              <w:rPr>
                <w:rFonts w:ascii="Times New Roman" w:hAnsi="Times New Roman"/>
                <w:kern w:val="0"/>
              </w:rPr>
              <w:t>一半以上天数</w:t>
            </w:r>
          </w:p>
        </w:tc>
        <w:tc>
          <w:tcPr>
            <w:tcW w:w="1089" w:type="dxa"/>
          </w:tcPr>
          <w:p>
            <w:pPr>
              <w:widowControl/>
              <w:jc w:val="left"/>
              <w:rPr>
                <w:rFonts w:ascii="Times New Roman" w:hAnsi="Times New Roman"/>
                <w:kern w:val="0"/>
              </w:rPr>
            </w:pPr>
            <w:r>
              <w:rPr>
                <w:rFonts w:ascii="Times New Roman" w:hAnsi="Times New Roman"/>
                <w:kern w:val="0"/>
              </w:rPr>
              <w:t>几乎每天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6" w:type="dxa"/>
            <w:gridSpan w:val="3"/>
          </w:tcPr>
          <w:p>
            <w:pPr>
              <w:numPr>
                <w:ilvl w:val="0"/>
                <w:numId w:val="35"/>
              </w:numPr>
              <w:adjustRightInd/>
              <w:spacing w:line="240" w:lineRule="auto"/>
              <w:rPr>
                <w:rFonts w:ascii="Times New Roman" w:hAnsi="Times New Roman"/>
              </w:rPr>
            </w:pPr>
            <w:r>
              <w:rPr>
                <w:rFonts w:ascii="Times New Roman" w:hAnsi="Times New Roman"/>
              </w:rPr>
              <w:t>食欲不振或吃太多</w:t>
            </w:r>
          </w:p>
        </w:tc>
        <w:tc>
          <w:tcPr>
            <w:tcW w:w="1084" w:type="dxa"/>
          </w:tcPr>
          <w:p>
            <w:pPr>
              <w:widowControl/>
              <w:jc w:val="left"/>
              <w:rPr>
                <w:rFonts w:ascii="Times New Roman" w:hAnsi="Times New Roman"/>
                <w:kern w:val="0"/>
              </w:rPr>
            </w:pPr>
            <w:r>
              <w:rPr>
                <w:rFonts w:ascii="Times New Roman" w:hAnsi="Times New Roman"/>
                <w:kern w:val="0"/>
              </w:rPr>
              <w:t xml:space="preserve">完全不会 </w:t>
            </w:r>
          </w:p>
        </w:tc>
        <w:tc>
          <w:tcPr>
            <w:tcW w:w="950" w:type="dxa"/>
          </w:tcPr>
          <w:p>
            <w:pPr>
              <w:widowControl/>
              <w:jc w:val="left"/>
              <w:rPr>
                <w:rFonts w:ascii="Times New Roman" w:hAnsi="Times New Roman"/>
                <w:kern w:val="0"/>
              </w:rPr>
            </w:pPr>
            <w:r>
              <w:rPr>
                <w:rFonts w:ascii="Times New Roman" w:hAnsi="Times New Roman"/>
                <w:kern w:val="0"/>
              </w:rPr>
              <w:t>好几天</w:t>
            </w:r>
          </w:p>
        </w:tc>
        <w:tc>
          <w:tcPr>
            <w:tcW w:w="1518" w:type="dxa"/>
          </w:tcPr>
          <w:p>
            <w:pPr>
              <w:widowControl/>
              <w:jc w:val="left"/>
              <w:rPr>
                <w:rFonts w:ascii="Times New Roman" w:hAnsi="Times New Roman"/>
                <w:kern w:val="0"/>
              </w:rPr>
            </w:pPr>
            <w:r>
              <w:rPr>
                <w:rFonts w:ascii="Times New Roman" w:hAnsi="Times New Roman"/>
                <w:kern w:val="0"/>
              </w:rPr>
              <w:t>一半以上天数</w:t>
            </w:r>
          </w:p>
        </w:tc>
        <w:tc>
          <w:tcPr>
            <w:tcW w:w="1089" w:type="dxa"/>
          </w:tcPr>
          <w:p>
            <w:pPr>
              <w:widowControl/>
              <w:jc w:val="left"/>
              <w:rPr>
                <w:rFonts w:ascii="Times New Roman" w:hAnsi="Times New Roman"/>
                <w:kern w:val="0"/>
              </w:rPr>
            </w:pPr>
            <w:r>
              <w:rPr>
                <w:rFonts w:ascii="Times New Roman" w:hAnsi="Times New Roman"/>
                <w:kern w:val="0"/>
              </w:rPr>
              <w:t>几乎每天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5466" w:type="dxa"/>
            <w:gridSpan w:val="3"/>
          </w:tcPr>
          <w:p>
            <w:pPr>
              <w:numPr>
                <w:ilvl w:val="0"/>
                <w:numId w:val="35"/>
              </w:numPr>
              <w:adjustRightInd/>
              <w:spacing w:line="240" w:lineRule="auto"/>
              <w:rPr>
                <w:rFonts w:ascii="Times New Roman" w:hAnsi="Times New Roman"/>
              </w:rPr>
            </w:pPr>
            <w:r>
              <w:rPr>
                <w:rFonts w:ascii="Times New Roman" w:hAnsi="Times New Roman"/>
              </w:rPr>
              <w:t>觉得自己很糟或觉得自己很失败，或让自己或家人失望</w:t>
            </w:r>
          </w:p>
        </w:tc>
        <w:tc>
          <w:tcPr>
            <w:tcW w:w="1084" w:type="dxa"/>
          </w:tcPr>
          <w:p>
            <w:pPr>
              <w:widowControl/>
              <w:jc w:val="left"/>
              <w:rPr>
                <w:rFonts w:ascii="Times New Roman" w:hAnsi="Times New Roman"/>
                <w:kern w:val="0"/>
              </w:rPr>
            </w:pPr>
            <w:r>
              <w:rPr>
                <w:rFonts w:ascii="Times New Roman" w:hAnsi="Times New Roman"/>
                <w:kern w:val="0"/>
              </w:rPr>
              <w:t xml:space="preserve">完全不会 </w:t>
            </w:r>
          </w:p>
        </w:tc>
        <w:tc>
          <w:tcPr>
            <w:tcW w:w="950" w:type="dxa"/>
          </w:tcPr>
          <w:p>
            <w:pPr>
              <w:widowControl/>
              <w:jc w:val="left"/>
              <w:rPr>
                <w:rFonts w:ascii="Times New Roman" w:hAnsi="Times New Roman"/>
                <w:kern w:val="0"/>
              </w:rPr>
            </w:pPr>
            <w:r>
              <w:rPr>
                <w:rFonts w:ascii="Times New Roman" w:hAnsi="Times New Roman"/>
                <w:kern w:val="0"/>
              </w:rPr>
              <w:t>好几天</w:t>
            </w:r>
          </w:p>
        </w:tc>
        <w:tc>
          <w:tcPr>
            <w:tcW w:w="1518" w:type="dxa"/>
          </w:tcPr>
          <w:p>
            <w:pPr>
              <w:widowControl/>
              <w:jc w:val="left"/>
              <w:rPr>
                <w:rFonts w:ascii="Times New Roman" w:hAnsi="Times New Roman"/>
                <w:kern w:val="0"/>
              </w:rPr>
            </w:pPr>
            <w:r>
              <w:rPr>
                <w:rFonts w:ascii="Times New Roman" w:hAnsi="Times New Roman"/>
                <w:kern w:val="0"/>
              </w:rPr>
              <w:t>一半以上天数</w:t>
            </w:r>
          </w:p>
        </w:tc>
        <w:tc>
          <w:tcPr>
            <w:tcW w:w="1089" w:type="dxa"/>
          </w:tcPr>
          <w:p>
            <w:pPr>
              <w:widowControl/>
              <w:jc w:val="left"/>
              <w:rPr>
                <w:rFonts w:ascii="Times New Roman" w:hAnsi="Times New Roman"/>
                <w:kern w:val="0"/>
              </w:rPr>
            </w:pPr>
            <w:r>
              <w:rPr>
                <w:rFonts w:ascii="Times New Roman" w:hAnsi="Times New Roman"/>
                <w:kern w:val="0"/>
              </w:rPr>
              <w:t>几乎每天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6" w:type="dxa"/>
            <w:gridSpan w:val="3"/>
          </w:tcPr>
          <w:p>
            <w:pPr>
              <w:numPr>
                <w:ilvl w:val="0"/>
                <w:numId w:val="35"/>
              </w:numPr>
              <w:adjustRightInd/>
              <w:spacing w:line="240" w:lineRule="auto"/>
              <w:rPr>
                <w:rFonts w:ascii="Times New Roman" w:hAnsi="Times New Roman"/>
              </w:rPr>
            </w:pPr>
            <w:r>
              <w:rPr>
                <w:rFonts w:ascii="Times New Roman" w:hAnsi="Times New Roman"/>
              </w:rPr>
              <w:t>对事物专注有困难，例如阅读报纸或看电视时</w:t>
            </w:r>
          </w:p>
        </w:tc>
        <w:tc>
          <w:tcPr>
            <w:tcW w:w="1084" w:type="dxa"/>
          </w:tcPr>
          <w:p>
            <w:pPr>
              <w:widowControl/>
              <w:jc w:val="left"/>
              <w:rPr>
                <w:rFonts w:ascii="Times New Roman" w:hAnsi="Times New Roman"/>
                <w:kern w:val="0"/>
              </w:rPr>
            </w:pPr>
            <w:r>
              <w:rPr>
                <w:rFonts w:ascii="Times New Roman" w:hAnsi="Times New Roman"/>
                <w:kern w:val="0"/>
              </w:rPr>
              <w:t xml:space="preserve">完全不会 </w:t>
            </w:r>
          </w:p>
        </w:tc>
        <w:tc>
          <w:tcPr>
            <w:tcW w:w="950" w:type="dxa"/>
          </w:tcPr>
          <w:p>
            <w:pPr>
              <w:widowControl/>
              <w:jc w:val="left"/>
              <w:rPr>
                <w:rFonts w:ascii="Times New Roman" w:hAnsi="Times New Roman"/>
                <w:kern w:val="0"/>
              </w:rPr>
            </w:pPr>
            <w:r>
              <w:rPr>
                <w:rFonts w:ascii="Times New Roman" w:hAnsi="Times New Roman"/>
                <w:kern w:val="0"/>
              </w:rPr>
              <w:t>好几天</w:t>
            </w:r>
          </w:p>
        </w:tc>
        <w:tc>
          <w:tcPr>
            <w:tcW w:w="1518" w:type="dxa"/>
          </w:tcPr>
          <w:p>
            <w:pPr>
              <w:widowControl/>
              <w:jc w:val="left"/>
              <w:rPr>
                <w:rFonts w:ascii="Times New Roman" w:hAnsi="Times New Roman"/>
                <w:kern w:val="0"/>
              </w:rPr>
            </w:pPr>
            <w:r>
              <w:rPr>
                <w:rFonts w:ascii="Times New Roman" w:hAnsi="Times New Roman"/>
                <w:kern w:val="0"/>
              </w:rPr>
              <w:t>一半以上天数</w:t>
            </w:r>
          </w:p>
        </w:tc>
        <w:tc>
          <w:tcPr>
            <w:tcW w:w="1089" w:type="dxa"/>
          </w:tcPr>
          <w:p>
            <w:pPr>
              <w:widowControl/>
              <w:jc w:val="left"/>
              <w:rPr>
                <w:rFonts w:ascii="Times New Roman" w:hAnsi="Times New Roman"/>
                <w:kern w:val="0"/>
              </w:rPr>
            </w:pPr>
            <w:r>
              <w:rPr>
                <w:rFonts w:ascii="Times New Roman" w:hAnsi="Times New Roman"/>
                <w:kern w:val="0"/>
              </w:rPr>
              <w:t>几乎每天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6" w:type="dxa"/>
            <w:gridSpan w:val="3"/>
          </w:tcPr>
          <w:p>
            <w:pPr>
              <w:numPr>
                <w:ilvl w:val="0"/>
                <w:numId w:val="35"/>
              </w:numPr>
              <w:adjustRightInd/>
              <w:spacing w:line="240" w:lineRule="auto"/>
              <w:rPr>
                <w:rFonts w:ascii="Times New Roman" w:hAnsi="Times New Roman"/>
              </w:rPr>
            </w:pPr>
            <w:r>
              <w:rPr>
                <w:rFonts w:ascii="Times New Roman" w:hAnsi="Times New Roman"/>
              </w:rPr>
              <w:t>动作或说话速度缓慢到别人已经觉察或正好相反，</w:t>
            </w:r>
            <w:r>
              <w:rPr>
                <w:rFonts w:hint="eastAsia" w:ascii="Times New Roman" w:hAnsi="Times New Roman"/>
              </w:rPr>
              <w:t>烦躁</w:t>
            </w:r>
            <w:r>
              <w:rPr>
                <w:rFonts w:ascii="Times New Roman" w:hAnsi="Times New Roman"/>
              </w:rPr>
              <w:t>或坐立不安、动来动去的情况更胜于平常</w:t>
            </w:r>
          </w:p>
        </w:tc>
        <w:tc>
          <w:tcPr>
            <w:tcW w:w="1084" w:type="dxa"/>
          </w:tcPr>
          <w:p>
            <w:pPr>
              <w:widowControl/>
              <w:jc w:val="left"/>
              <w:rPr>
                <w:rFonts w:ascii="Times New Roman" w:hAnsi="Times New Roman"/>
                <w:kern w:val="0"/>
              </w:rPr>
            </w:pPr>
            <w:r>
              <w:rPr>
                <w:rFonts w:ascii="Times New Roman" w:hAnsi="Times New Roman"/>
                <w:kern w:val="0"/>
              </w:rPr>
              <w:t xml:space="preserve">完全不会 </w:t>
            </w:r>
          </w:p>
        </w:tc>
        <w:tc>
          <w:tcPr>
            <w:tcW w:w="950" w:type="dxa"/>
          </w:tcPr>
          <w:p>
            <w:pPr>
              <w:widowControl/>
              <w:jc w:val="left"/>
              <w:rPr>
                <w:rFonts w:ascii="Times New Roman" w:hAnsi="Times New Roman"/>
                <w:kern w:val="0"/>
              </w:rPr>
            </w:pPr>
            <w:r>
              <w:rPr>
                <w:rFonts w:ascii="Times New Roman" w:hAnsi="Times New Roman"/>
                <w:kern w:val="0"/>
              </w:rPr>
              <w:t>好几天</w:t>
            </w:r>
          </w:p>
        </w:tc>
        <w:tc>
          <w:tcPr>
            <w:tcW w:w="1518" w:type="dxa"/>
          </w:tcPr>
          <w:p>
            <w:pPr>
              <w:widowControl/>
              <w:jc w:val="left"/>
              <w:rPr>
                <w:rFonts w:ascii="Times New Roman" w:hAnsi="Times New Roman"/>
                <w:kern w:val="0"/>
              </w:rPr>
            </w:pPr>
            <w:r>
              <w:rPr>
                <w:rFonts w:ascii="Times New Roman" w:hAnsi="Times New Roman"/>
                <w:kern w:val="0"/>
              </w:rPr>
              <w:t>一半以上天数</w:t>
            </w:r>
          </w:p>
        </w:tc>
        <w:tc>
          <w:tcPr>
            <w:tcW w:w="1089" w:type="dxa"/>
          </w:tcPr>
          <w:p>
            <w:pPr>
              <w:widowControl/>
              <w:jc w:val="left"/>
              <w:rPr>
                <w:rFonts w:ascii="Times New Roman" w:hAnsi="Times New Roman"/>
                <w:kern w:val="0"/>
              </w:rPr>
            </w:pPr>
            <w:r>
              <w:rPr>
                <w:rFonts w:ascii="Times New Roman" w:hAnsi="Times New Roman"/>
                <w:kern w:val="0"/>
              </w:rPr>
              <w:t>几乎每天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6" w:type="dxa"/>
            <w:gridSpan w:val="3"/>
          </w:tcPr>
          <w:p>
            <w:pPr>
              <w:rPr>
                <w:rFonts w:ascii="Times New Roman" w:hAnsi="Times New Roman"/>
              </w:rPr>
            </w:pPr>
            <w:r>
              <w:rPr>
                <w:rFonts w:ascii="Times New Roman" w:hAnsi="Times New Roman"/>
              </w:rPr>
              <w:t>9. 有不如死掉或用某种方式伤害自己的念头</w:t>
            </w:r>
          </w:p>
        </w:tc>
        <w:tc>
          <w:tcPr>
            <w:tcW w:w="1084" w:type="dxa"/>
          </w:tcPr>
          <w:p>
            <w:pPr>
              <w:widowControl/>
              <w:jc w:val="left"/>
              <w:rPr>
                <w:rFonts w:ascii="Times New Roman" w:hAnsi="Times New Roman"/>
                <w:kern w:val="0"/>
              </w:rPr>
            </w:pPr>
            <w:r>
              <w:rPr>
                <w:rFonts w:ascii="Times New Roman" w:hAnsi="Times New Roman"/>
                <w:kern w:val="0"/>
              </w:rPr>
              <w:t xml:space="preserve">完全不会 </w:t>
            </w:r>
          </w:p>
        </w:tc>
        <w:tc>
          <w:tcPr>
            <w:tcW w:w="950" w:type="dxa"/>
          </w:tcPr>
          <w:p>
            <w:pPr>
              <w:widowControl/>
              <w:jc w:val="left"/>
              <w:rPr>
                <w:rFonts w:ascii="Times New Roman" w:hAnsi="Times New Roman"/>
                <w:kern w:val="0"/>
              </w:rPr>
            </w:pPr>
            <w:r>
              <w:rPr>
                <w:rFonts w:ascii="Times New Roman" w:hAnsi="Times New Roman"/>
                <w:kern w:val="0"/>
              </w:rPr>
              <w:t>好几天</w:t>
            </w:r>
          </w:p>
        </w:tc>
        <w:tc>
          <w:tcPr>
            <w:tcW w:w="1518" w:type="dxa"/>
          </w:tcPr>
          <w:p>
            <w:pPr>
              <w:widowControl/>
              <w:jc w:val="left"/>
              <w:rPr>
                <w:rFonts w:ascii="Times New Roman" w:hAnsi="Times New Roman"/>
                <w:kern w:val="0"/>
              </w:rPr>
            </w:pPr>
            <w:r>
              <w:rPr>
                <w:rFonts w:ascii="Times New Roman" w:hAnsi="Times New Roman"/>
                <w:kern w:val="0"/>
              </w:rPr>
              <w:t>一半以上天数</w:t>
            </w:r>
          </w:p>
        </w:tc>
        <w:tc>
          <w:tcPr>
            <w:tcW w:w="1089" w:type="dxa"/>
          </w:tcPr>
          <w:p>
            <w:pPr>
              <w:widowControl/>
              <w:jc w:val="left"/>
              <w:rPr>
                <w:rFonts w:ascii="Times New Roman" w:hAnsi="Times New Roman"/>
                <w:kern w:val="0"/>
              </w:rPr>
            </w:pPr>
            <w:r>
              <w:rPr>
                <w:rFonts w:ascii="Times New Roman" w:hAnsi="Times New Roman"/>
                <w:kern w:val="0"/>
              </w:rPr>
              <w:t>几乎每天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0107" w:type="dxa"/>
            <w:gridSpan w:val="7"/>
          </w:tcPr>
          <w:p>
            <w:pPr>
              <w:jc w:val="left"/>
              <w:rPr>
                <w:rFonts w:ascii="Times New Roman" w:hAnsi="Times New Roman"/>
              </w:rPr>
            </w:pPr>
            <w:r>
              <w:rPr>
                <w:rFonts w:ascii="Times New Roman" w:hAnsi="Times New Roman"/>
                <w:b/>
                <w:bCs/>
              </w:rPr>
              <w:t>评分规则及治疗建议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182" w:type="dxa"/>
          </w:tcPr>
          <w:p>
            <w:pPr>
              <w:jc w:val="left"/>
              <w:rPr>
                <w:rFonts w:ascii="Times New Roman" w:hAnsi="Times New Roman"/>
                <w:b/>
                <w:bCs/>
              </w:rPr>
            </w:pPr>
            <w:r>
              <w:rPr>
                <w:rFonts w:ascii="Times New Roman" w:hAnsi="Times New Roman"/>
                <w:b/>
                <w:bCs/>
              </w:rPr>
              <w:t>分值</w:t>
            </w:r>
          </w:p>
        </w:tc>
        <w:tc>
          <w:tcPr>
            <w:tcW w:w="1294" w:type="dxa"/>
          </w:tcPr>
          <w:p>
            <w:pPr>
              <w:jc w:val="left"/>
              <w:rPr>
                <w:rFonts w:ascii="Times New Roman" w:hAnsi="Times New Roman"/>
                <w:b/>
                <w:bCs/>
              </w:rPr>
            </w:pPr>
            <w:r>
              <w:rPr>
                <w:rFonts w:ascii="Times New Roman" w:hAnsi="Times New Roman"/>
                <w:b/>
                <w:bCs/>
              </w:rPr>
              <w:t>结果分析</w:t>
            </w:r>
          </w:p>
        </w:tc>
        <w:tc>
          <w:tcPr>
            <w:tcW w:w="7631" w:type="dxa"/>
            <w:gridSpan w:val="5"/>
          </w:tcPr>
          <w:p>
            <w:pPr>
              <w:jc w:val="left"/>
              <w:rPr>
                <w:rFonts w:ascii="Times New Roman" w:hAnsi="Times New Roman"/>
                <w:b/>
                <w:bCs/>
              </w:rPr>
            </w:pPr>
            <w:r>
              <w:rPr>
                <w:rFonts w:ascii="Times New Roman" w:hAnsi="Times New Roman"/>
                <w:b/>
                <w:bCs/>
              </w:rPr>
              <w:t>治疗建议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182" w:type="dxa"/>
          </w:tcPr>
          <w:p>
            <w:pPr>
              <w:jc w:val="left"/>
              <w:rPr>
                <w:rFonts w:ascii="Times New Roman" w:hAnsi="Times New Roman"/>
              </w:rPr>
            </w:pPr>
            <w:r>
              <w:rPr>
                <w:rFonts w:ascii="Times New Roman" w:hAnsi="Times New Roman"/>
              </w:rPr>
              <w:t>0~4分</w:t>
            </w:r>
          </w:p>
        </w:tc>
        <w:tc>
          <w:tcPr>
            <w:tcW w:w="1294" w:type="dxa"/>
          </w:tcPr>
          <w:p>
            <w:pPr>
              <w:jc w:val="left"/>
              <w:rPr>
                <w:rFonts w:ascii="Times New Roman" w:hAnsi="Times New Roman"/>
              </w:rPr>
            </w:pPr>
            <w:r>
              <w:rPr>
                <w:rFonts w:ascii="Times New Roman" w:hAnsi="Times New Roman"/>
              </w:rPr>
              <w:t>没有抑郁</w:t>
            </w:r>
          </w:p>
        </w:tc>
        <w:tc>
          <w:tcPr>
            <w:tcW w:w="7631" w:type="dxa"/>
            <w:gridSpan w:val="5"/>
          </w:tcPr>
          <w:p>
            <w:pPr>
              <w:jc w:val="left"/>
              <w:rPr>
                <w:rFonts w:ascii="Times New Roman" w:hAnsi="Times New Roman"/>
              </w:rPr>
            </w:pPr>
            <w:r>
              <w:rPr>
                <w:rFonts w:ascii="Times New Roman" w:hAnsi="Times New Roma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182" w:type="dxa"/>
          </w:tcPr>
          <w:p>
            <w:pPr>
              <w:jc w:val="left"/>
              <w:rPr>
                <w:rFonts w:ascii="Times New Roman" w:hAnsi="Times New Roman"/>
              </w:rPr>
            </w:pPr>
            <w:r>
              <w:rPr>
                <w:rFonts w:ascii="Times New Roman" w:hAnsi="Times New Roman"/>
              </w:rPr>
              <w:t>5~9分</w:t>
            </w:r>
          </w:p>
        </w:tc>
        <w:tc>
          <w:tcPr>
            <w:tcW w:w="1294" w:type="dxa"/>
          </w:tcPr>
          <w:p>
            <w:pPr>
              <w:jc w:val="left"/>
              <w:rPr>
                <w:rFonts w:ascii="Times New Roman" w:hAnsi="Times New Roman"/>
              </w:rPr>
            </w:pPr>
            <w:r>
              <w:rPr>
                <w:rFonts w:ascii="Times New Roman" w:hAnsi="Times New Roman"/>
              </w:rPr>
              <w:t>轻度抑郁</w:t>
            </w:r>
          </w:p>
        </w:tc>
        <w:tc>
          <w:tcPr>
            <w:tcW w:w="7631" w:type="dxa"/>
            <w:gridSpan w:val="5"/>
          </w:tcPr>
          <w:p>
            <w:pPr>
              <w:jc w:val="left"/>
              <w:rPr>
                <w:rFonts w:ascii="Times New Roman" w:hAnsi="Times New Roman"/>
              </w:rPr>
            </w:pPr>
            <w:r>
              <w:rPr>
                <w:rFonts w:ascii="Times New Roman" w:hAnsi="Times New Roman"/>
              </w:rPr>
              <w:t>观察等待：随诊随访时复查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82" w:type="dxa"/>
          </w:tcPr>
          <w:p>
            <w:pPr>
              <w:jc w:val="left"/>
              <w:rPr>
                <w:rFonts w:ascii="Times New Roman" w:hAnsi="Times New Roman"/>
              </w:rPr>
            </w:pPr>
            <w:r>
              <w:rPr>
                <w:rFonts w:ascii="Times New Roman" w:hAnsi="Times New Roman"/>
              </w:rPr>
              <w:t>10~14分</w:t>
            </w:r>
          </w:p>
        </w:tc>
        <w:tc>
          <w:tcPr>
            <w:tcW w:w="1294" w:type="dxa"/>
          </w:tcPr>
          <w:p>
            <w:pPr>
              <w:jc w:val="left"/>
              <w:rPr>
                <w:rFonts w:ascii="Times New Roman" w:hAnsi="Times New Roman"/>
              </w:rPr>
            </w:pPr>
            <w:r>
              <w:rPr>
                <w:rFonts w:ascii="Times New Roman" w:hAnsi="Times New Roman"/>
              </w:rPr>
              <w:t>中度抑郁</w:t>
            </w:r>
          </w:p>
        </w:tc>
        <w:tc>
          <w:tcPr>
            <w:tcW w:w="7631" w:type="dxa"/>
            <w:gridSpan w:val="5"/>
          </w:tcPr>
          <w:p>
            <w:pPr>
              <w:jc w:val="left"/>
              <w:rPr>
                <w:rFonts w:ascii="Times New Roman" w:hAnsi="Times New Roman"/>
              </w:rPr>
            </w:pPr>
            <w:r>
              <w:rPr>
                <w:rFonts w:ascii="Times New Roman" w:hAnsi="Times New Roman"/>
              </w:rPr>
              <w:t>制定治疗计划，考虑咨询，随访和（或）药物治疗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182" w:type="dxa"/>
          </w:tcPr>
          <w:p>
            <w:pPr>
              <w:jc w:val="left"/>
              <w:rPr>
                <w:rFonts w:ascii="Times New Roman" w:hAnsi="Times New Roman"/>
              </w:rPr>
            </w:pPr>
            <w:r>
              <w:rPr>
                <w:rFonts w:ascii="Times New Roman" w:hAnsi="Times New Roman"/>
              </w:rPr>
              <w:t>15~19分</w:t>
            </w:r>
          </w:p>
        </w:tc>
        <w:tc>
          <w:tcPr>
            <w:tcW w:w="1294" w:type="dxa"/>
          </w:tcPr>
          <w:p>
            <w:pPr>
              <w:jc w:val="left"/>
              <w:rPr>
                <w:rFonts w:ascii="Times New Roman" w:hAnsi="Times New Roman"/>
              </w:rPr>
            </w:pPr>
            <w:r>
              <w:rPr>
                <w:rFonts w:ascii="Times New Roman" w:hAnsi="Times New Roman"/>
              </w:rPr>
              <w:t>中重度抑郁</w:t>
            </w:r>
          </w:p>
        </w:tc>
        <w:tc>
          <w:tcPr>
            <w:tcW w:w="7631" w:type="dxa"/>
            <w:gridSpan w:val="5"/>
          </w:tcPr>
          <w:p>
            <w:pPr>
              <w:jc w:val="left"/>
              <w:rPr>
                <w:rFonts w:ascii="Times New Roman" w:hAnsi="Times New Roman"/>
              </w:rPr>
            </w:pPr>
            <w:r>
              <w:rPr>
                <w:rFonts w:ascii="Times New Roman" w:hAnsi="Times New Roman"/>
              </w:rPr>
              <w:t>积极药物治疗和（或）心理治疗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182" w:type="dxa"/>
          </w:tcPr>
          <w:p>
            <w:pPr>
              <w:jc w:val="left"/>
              <w:rPr>
                <w:rFonts w:ascii="Times New Roman" w:hAnsi="Times New Roman"/>
              </w:rPr>
            </w:pPr>
            <w:r>
              <w:rPr>
                <w:rFonts w:ascii="Times New Roman" w:hAnsi="Times New Roman"/>
              </w:rPr>
              <w:t>20~27分</w:t>
            </w:r>
          </w:p>
        </w:tc>
        <w:tc>
          <w:tcPr>
            <w:tcW w:w="1294" w:type="dxa"/>
          </w:tcPr>
          <w:p>
            <w:pPr>
              <w:jc w:val="left"/>
              <w:rPr>
                <w:rFonts w:ascii="Times New Roman" w:hAnsi="Times New Roman"/>
              </w:rPr>
            </w:pPr>
            <w:r>
              <w:rPr>
                <w:rFonts w:ascii="Times New Roman" w:hAnsi="Times New Roman"/>
              </w:rPr>
              <w:t>重度抑郁</w:t>
            </w:r>
          </w:p>
        </w:tc>
        <w:tc>
          <w:tcPr>
            <w:tcW w:w="7631" w:type="dxa"/>
            <w:gridSpan w:val="5"/>
          </w:tcPr>
          <w:p>
            <w:pPr>
              <w:jc w:val="left"/>
              <w:rPr>
                <w:rFonts w:ascii="Times New Roman" w:hAnsi="Times New Roman"/>
              </w:rPr>
            </w:pPr>
            <w:r>
              <w:rPr>
                <w:rFonts w:ascii="Times New Roman" w:hAnsi="Times New Roman"/>
              </w:rPr>
              <w:t>首先选择药物治疗，若严重损伤或对治疗无效，建议转移精神疾病专家，行心理治疗和（或）综合治疗</w:t>
            </w:r>
          </w:p>
        </w:tc>
      </w:tr>
    </w:tbl>
    <w:p>
      <w:pPr>
        <w:pStyle w:val="56"/>
        <w:ind w:firstLine="0" w:firstLineChars="0"/>
      </w:pPr>
    </w:p>
    <w:p>
      <w:pPr>
        <w:pStyle w:val="56"/>
        <w:ind w:firstLine="420"/>
      </w:pPr>
    </w:p>
    <w:p>
      <w:pPr>
        <w:pStyle w:val="56"/>
        <w:ind w:firstLine="420"/>
      </w:pPr>
    </w:p>
    <w:p>
      <w:pPr>
        <w:pStyle w:val="56"/>
        <w:ind w:firstLine="42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pPr>
    </w:p>
    <w:p>
      <w:pPr>
        <w:pStyle w:val="199"/>
      </w:pPr>
    </w:p>
    <w:p>
      <w:pPr>
        <w:pStyle w:val="76"/>
        <w:spacing w:before="78" w:after="156"/>
        <w:ind w:left="0"/>
      </w:pPr>
      <w:r>
        <w:br w:type="textWrapping"/>
      </w:r>
      <w:bookmarkStart w:id="82" w:name="_Toc170288786"/>
      <w:r>
        <w:rPr>
          <w:rFonts w:hint="eastAsia"/>
        </w:rPr>
        <w:t>（资料性）</w:t>
      </w:r>
      <w:r>
        <w:br w:type="textWrapping"/>
      </w:r>
      <w:r>
        <w:t>广泛性焦虑自评量表评分</w:t>
      </w:r>
      <w:bookmarkEnd w:id="82"/>
    </w:p>
    <w:tbl>
      <w:tblPr>
        <w:tblStyle w:val="27"/>
        <w:tblW w:w="91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9"/>
        <w:gridCol w:w="1111"/>
        <w:gridCol w:w="900"/>
        <w:gridCol w:w="1544"/>
        <w:gridCol w:w="1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4499" w:type="dxa"/>
            <w:vMerge w:val="restart"/>
          </w:tcPr>
          <w:p>
            <w:pPr>
              <w:ind w:firstLine="420" w:firstLineChars="200"/>
              <w:jc w:val="center"/>
              <w:rPr>
                <w:rFonts w:ascii="Times New Roman" w:hAnsi="Times New Roman"/>
              </w:rPr>
            </w:pPr>
            <w:r>
              <w:rPr>
                <w:rFonts w:ascii="Times New Roman" w:hAnsi="Times New Roman"/>
              </w:rPr>
              <w:t>问题</w:t>
            </w:r>
          </w:p>
        </w:tc>
        <w:tc>
          <w:tcPr>
            <w:tcW w:w="4644" w:type="dxa"/>
            <w:gridSpan w:val="4"/>
          </w:tcPr>
          <w:p>
            <w:pPr>
              <w:ind w:firstLine="420" w:firstLineChars="200"/>
              <w:jc w:val="center"/>
              <w:rPr>
                <w:rFonts w:ascii="Times New Roman" w:hAnsi="Times New Roman"/>
              </w:rPr>
            </w:pPr>
            <w:r>
              <w:rPr>
                <w:rFonts w:ascii="Times New Roman" w:hAnsi="Times New Roman"/>
              </w:rPr>
              <w:t>选项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4499" w:type="dxa"/>
            <w:vMerge w:val="continue"/>
          </w:tcPr>
          <w:p>
            <w:pPr>
              <w:ind w:firstLine="420" w:firstLineChars="200"/>
              <w:jc w:val="center"/>
              <w:rPr>
                <w:rFonts w:ascii="Times New Roman" w:hAnsi="Times New Roman"/>
                <w:lang w:eastAsia="en-US"/>
              </w:rPr>
            </w:pPr>
          </w:p>
        </w:tc>
        <w:tc>
          <w:tcPr>
            <w:tcW w:w="1111" w:type="dxa"/>
          </w:tcPr>
          <w:p>
            <w:pPr>
              <w:ind w:firstLine="420" w:firstLineChars="200"/>
              <w:rPr>
                <w:rFonts w:ascii="Times New Roman" w:hAnsi="Times New Roman"/>
              </w:rPr>
            </w:pPr>
            <w:r>
              <w:rPr>
                <w:rFonts w:ascii="Times New Roman" w:hAnsi="Times New Roman"/>
              </w:rPr>
              <w:t>0分</w:t>
            </w:r>
          </w:p>
        </w:tc>
        <w:tc>
          <w:tcPr>
            <w:tcW w:w="900" w:type="dxa"/>
          </w:tcPr>
          <w:p>
            <w:pPr>
              <w:jc w:val="center"/>
              <w:rPr>
                <w:rFonts w:ascii="Times New Roman" w:hAnsi="Times New Roman"/>
              </w:rPr>
            </w:pPr>
            <w:r>
              <w:rPr>
                <w:rFonts w:ascii="Times New Roman" w:hAnsi="Times New Roman"/>
              </w:rPr>
              <w:t>1分</w:t>
            </w:r>
          </w:p>
        </w:tc>
        <w:tc>
          <w:tcPr>
            <w:tcW w:w="1544" w:type="dxa"/>
          </w:tcPr>
          <w:p>
            <w:pPr>
              <w:jc w:val="center"/>
              <w:rPr>
                <w:rFonts w:ascii="Times New Roman" w:hAnsi="Times New Roman"/>
              </w:rPr>
            </w:pPr>
            <w:r>
              <w:rPr>
                <w:rFonts w:ascii="Times New Roman" w:hAnsi="Times New Roman"/>
              </w:rPr>
              <w:t>2分</w:t>
            </w:r>
          </w:p>
        </w:tc>
        <w:tc>
          <w:tcPr>
            <w:tcW w:w="1089" w:type="dxa"/>
          </w:tcPr>
          <w:p>
            <w:pPr>
              <w:jc w:val="center"/>
              <w:rPr>
                <w:rFonts w:ascii="Times New Roman" w:hAnsi="Times New Roman"/>
              </w:rPr>
            </w:pPr>
            <w:r>
              <w:rPr>
                <w:rFonts w:ascii="Times New Roman" w:hAnsi="Times New Roman"/>
              </w:rPr>
              <w:t>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43" w:type="dxa"/>
            <w:gridSpan w:val="5"/>
          </w:tcPr>
          <w:p>
            <w:pPr>
              <w:rPr>
                <w:rFonts w:ascii="Times New Roman" w:hAnsi="Times New Roman"/>
              </w:rPr>
            </w:pPr>
            <w:r>
              <w:rPr>
                <w:rFonts w:ascii="Times New Roman" w:hAnsi="Times New Roman"/>
              </w:rPr>
              <w:t>根据过去2周情况，请您回答是否存在下列描述的状况及频率，请看清楚问题后在符合您的选项前的数字上面画“√”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99" w:type="dxa"/>
          </w:tcPr>
          <w:p>
            <w:pPr>
              <w:rPr>
                <w:rFonts w:ascii="Times New Roman" w:hAnsi="Times New Roman"/>
              </w:rPr>
            </w:pPr>
            <w:r>
              <w:rPr>
                <w:rFonts w:ascii="Times New Roman" w:hAnsi="Times New Roman"/>
              </w:rPr>
              <w:t>1.感觉紧张、焦虑或急切</w:t>
            </w:r>
          </w:p>
        </w:tc>
        <w:tc>
          <w:tcPr>
            <w:tcW w:w="1111" w:type="dxa"/>
          </w:tcPr>
          <w:p>
            <w:pPr>
              <w:widowControl/>
              <w:jc w:val="left"/>
              <w:rPr>
                <w:rFonts w:ascii="Times New Roman" w:hAnsi="Times New Roman"/>
                <w:kern w:val="0"/>
              </w:rPr>
            </w:pPr>
            <w:r>
              <w:rPr>
                <w:rFonts w:ascii="Times New Roman" w:hAnsi="Times New Roman"/>
                <w:kern w:val="0"/>
              </w:rPr>
              <w:t xml:space="preserve">完全不会 </w:t>
            </w:r>
          </w:p>
        </w:tc>
        <w:tc>
          <w:tcPr>
            <w:tcW w:w="900" w:type="dxa"/>
          </w:tcPr>
          <w:p>
            <w:pPr>
              <w:widowControl/>
              <w:jc w:val="left"/>
              <w:rPr>
                <w:rFonts w:ascii="Times New Roman" w:hAnsi="Times New Roman"/>
                <w:kern w:val="0"/>
              </w:rPr>
            </w:pPr>
            <w:r>
              <w:rPr>
                <w:rFonts w:ascii="Times New Roman" w:hAnsi="Times New Roman"/>
                <w:kern w:val="0"/>
              </w:rPr>
              <w:t>好几天</w:t>
            </w:r>
          </w:p>
        </w:tc>
        <w:tc>
          <w:tcPr>
            <w:tcW w:w="1544" w:type="dxa"/>
          </w:tcPr>
          <w:p>
            <w:pPr>
              <w:widowControl/>
              <w:jc w:val="left"/>
              <w:rPr>
                <w:rFonts w:ascii="Times New Roman" w:hAnsi="Times New Roman"/>
                <w:kern w:val="0"/>
              </w:rPr>
            </w:pPr>
            <w:r>
              <w:rPr>
                <w:rFonts w:ascii="Times New Roman" w:hAnsi="Times New Roman"/>
                <w:kern w:val="0"/>
              </w:rPr>
              <w:t>一半以上天数</w:t>
            </w:r>
          </w:p>
        </w:tc>
        <w:tc>
          <w:tcPr>
            <w:tcW w:w="1089" w:type="dxa"/>
          </w:tcPr>
          <w:p>
            <w:pPr>
              <w:widowControl/>
              <w:jc w:val="left"/>
              <w:rPr>
                <w:rFonts w:ascii="Times New Roman" w:hAnsi="Times New Roman"/>
                <w:kern w:val="0"/>
              </w:rPr>
            </w:pPr>
            <w:r>
              <w:rPr>
                <w:rFonts w:ascii="Times New Roman" w:hAnsi="Times New Roman"/>
                <w:kern w:val="0"/>
              </w:rPr>
              <w:t>几乎每天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99" w:type="dxa"/>
          </w:tcPr>
          <w:p>
            <w:pPr>
              <w:rPr>
                <w:rFonts w:ascii="Times New Roman" w:hAnsi="Times New Roman"/>
              </w:rPr>
            </w:pPr>
            <w:r>
              <w:rPr>
                <w:rFonts w:ascii="Times New Roman" w:hAnsi="Times New Roman"/>
              </w:rPr>
              <w:t>2.不能够停止或控制担忧</w:t>
            </w:r>
          </w:p>
        </w:tc>
        <w:tc>
          <w:tcPr>
            <w:tcW w:w="1111" w:type="dxa"/>
          </w:tcPr>
          <w:p>
            <w:pPr>
              <w:widowControl/>
              <w:jc w:val="left"/>
              <w:rPr>
                <w:rFonts w:ascii="Times New Roman" w:hAnsi="Times New Roman"/>
                <w:kern w:val="0"/>
              </w:rPr>
            </w:pPr>
            <w:r>
              <w:rPr>
                <w:rFonts w:ascii="Times New Roman" w:hAnsi="Times New Roman"/>
                <w:kern w:val="0"/>
              </w:rPr>
              <w:t xml:space="preserve">完全不会 </w:t>
            </w:r>
          </w:p>
        </w:tc>
        <w:tc>
          <w:tcPr>
            <w:tcW w:w="900" w:type="dxa"/>
          </w:tcPr>
          <w:p>
            <w:pPr>
              <w:widowControl/>
              <w:jc w:val="left"/>
              <w:rPr>
                <w:rFonts w:ascii="Times New Roman" w:hAnsi="Times New Roman"/>
                <w:kern w:val="0"/>
              </w:rPr>
            </w:pPr>
            <w:r>
              <w:rPr>
                <w:rFonts w:ascii="Times New Roman" w:hAnsi="Times New Roman"/>
                <w:kern w:val="0"/>
              </w:rPr>
              <w:t>好几天</w:t>
            </w:r>
          </w:p>
        </w:tc>
        <w:tc>
          <w:tcPr>
            <w:tcW w:w="1544" w:type="dxa"/>
          </w:tcPr>
          <w:p>
            <w:pPr>
              <w:widowControl/>
              <w:jc w:val="left"/>
              <w:rPr>
                <w:rFonts w:ascii="Times New Roman" w:hAnsi="Times New Roman"/>
                <w:kern w:val="0"/>
              </w:rPr>
            </w:pPr>
            <w:r>
              <w:rPr>
                <w:rFonts w:ascii="Times New Roman" w:hAnsi="Times New Roman"/>
                <w:kern w:val="0"/>
              </w:rPr>
              <w:t>一半以上天数</w:t>
            </w:r>
          </w:p>
        </w:tc>
        <w:tc>
          <w:tcPr>
            <w:tcW w:w="1089" w:type="dxa"/>
          </w:tcPr>
          <w:p>
            <w:pPr>
              <w:widowControl/>
              <w:jc w:val="left"/>
              <w:rPr>
                <w:rFonts w:ascii="Times New Roman" w:hAnsi="Times New Roman"/>
                <w:kern w:val="0"/>
              </w:rPr>
            </w:pPr>
            <w:r>
              <w:rPr>
                <w:rFonts w:ascii="Times New Roman" w:hAnsi="Times New Roman"/>
                <w:kern w:val="0"/>
              </w:rPr>
              <w:t>几乎每天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99" w:type="dxa"/>
          </w:tcPr>
          <w:p>
            <w:pPr>
              <w:rPr>
                <w:rFonts w:ascii="Times New Roman" w:hAnsi="Times New Roman"/>
              </w:rPr>
            </w:pPr>
            <w:r>
              <w:rPr>
                <w:rFonts w:ascii="Times New Roman" w:hAnsi="Times New Roman"/>
              </w:rPr>
              <w:t>3.对各种各样的事情担忧过多</w:t>
            </w:r>
          </w:p>
        </w:tc>
        <w:tc>
          <w:tcPr>
            <w:tcW w:w="1111" w:type="dxa"/>
          </w:tcPr>
          <w:p>
            <w:pPr>
              <w:widowControl/>
              <w:jc w:val="left"/>
              <w:rPr>
                <w:rFonts w:ascii="Times New Roman" w:hAnsi="Times New Roman"/>
                <w:kern w:val="0"/>
              </w:rPr>
            </w:pPr>
            <w:r>
              <w:rPr>
                <w:rFonts w:ascii="Times New Roman" w:hAnsi="Times New Roman"/>
                <w:kern w:val="0"/>
              </w:rPr>
              <w:t xml:space="preserve">完全不会 </w:t>
            </w:r>
          </w:p>
        </w:tc>
        <w:tc>
          <w:tcPr>
            <w:tcW w:w="900" w:type="dxa"/>
          </w:tcPr>
          <w:p>
            <w:pPr>
              <w:widowControl/>
              <w:jc w:val="left"/>
              <w:rPr>
                <w:rFonts w:ascii="Times New Roman" w:hAnsi="Times New Roman"/>
                <w:kern w:val="0"/>
              </w:rPr>
            </w:pPr>
            <w:r>
              <w:rPr>
                <w:rFonts w:ascii="Times New Roman" w:hAnsi="Times New Roman"/>
                <w:kern w:val="0"/>
              </w:rPr>
              <w:t>好几天</w:t>
            </w:r>
          </w:p>
        </w:tc>
        <w:tc>
          <w:tcPr>
            <w:tcW w:w="1544" w:type="dxa"/>
          </w:tcPr>
          <w:p>
            <w:pPr>
              <w:widowControl/>
              <w:jc w:val="left"/>
              <w:rPr>
                <w:rFonts w:ascii="Times New Roman" w:hAnsi="Times New Roman"/>
                <w:kern w:val="0"/>
              </w:rPr>
            </w:pPr>
            <w:r>
              <w:rPr>
                <w:rFonts w:ascii="Times New Roman" w:hAnsi="Times New Roman"/>
                <w:kern w:val="0"/>
              </w:rPr>
              <w:t>一半以上天数</w:t>
            </w:r>
          </w:p>
        </w:tc>
        <w:tc>
          <w:tcPr>
            <w:tcW w:w="1089" w:type="dxa"/>
          </w:tcPr>
          <w:p>
            <w:pPr>
              <w:widowControl/>
              <w:jc w:val="left"/>
              <w:rPr>
                <w:rFonts w:ascii="Times New Roman" w:hAnsi="Times New Roman"/>
                <w:kern w:val="0"/>
              </w:rPr>
            </w:pPr>
            <w:r>
              <w:rPr>
                <w:rFonts w:ascii="Times New Roman" w:hAnsi="Times New Roman"/>
                <w:kern w:val="0"/>
              </w:rPr>
              <w:t>几乎每天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99" w:type="dxa"/>
          </w:tcPr>
          <w:p>
            <w:pPr>
              <w:rPr>
                <w:rFonts w:ascii="Times New Roman" w:hAnsi="Times New Roman"/>
              </w:rPr>
            </w:pPr>
            <w:r>
              <w:rPr>
                <w:rFonts w:ascii="Times New Roman" w:hAnsi="Times New Roman"/>
              </w:rPr>
              <w:t>4.很难放松下来</w:t>
            </w:r>
          </w:p>
        </w:tc>
        <w:tc>
          <w:tcPr>
            <w:tcW w:w="1111" w:type="dxa"/>
          </w:tcPr>
          <w:p>
            <w:pPr>
              <w:widowControl/>
              <w:jc w:val="left"/>
              <w:rPr>
                <w:rFonts w:ascii="Times New Roman" w:hAnsi="Times New Roman"/>
                <w:kern w:val="0"/>
              </w:rPr>
            </w:pPr>
            <w:r>
              <w:rPr>
                <w:rFonts w:ascii="Times New Roman" w:hAnsi="Times New Roman"/>
                <w:kern w:val="0"/>
              </w:rPr>
              <w:t xml:space="preserve">完全不会 </w:t>
            </w:r>
          </w:p>
        </w:tc>
        <w:tc>
          <w:tcPr>
            <w:tcW w:w="900" w:type="dxa"/>
          </w:tcPr>
          <w:p>
            <w:pPr>
              <w:widowControl/>
              <w:jc w:val="left"/>
              <w:rPr>
                <w:rFonts w:ascii="Times New Roman" w:hAnsi="Times New Roman"/>
                <w:kern w:val="0"/>
              </w:rPr>
            </w:pPr>
            <w:r>
              <w:rPr>
                <w:rFonts w:ascii="Times New Roman" w:hAnsi="Times New Roman"/>
                <w:kern w:val="0"/>
              </w:rPr>
              <w:t>好几天</w:t>
            </w:r>
          </w:p>
        </w:tc>
        <w:tc>
          <w:tcPr>
            <w:tcW w:w="1544" w:type="dxa"/>
          </w:tcPr>
          <w:p>
            <w:pPr>
              <w:widowControl/>
              <w:jc w:val="left"/>
              <w:rPr>
                <w:rFonts w:ascii="Times New Roman" w:hAnsi="Times New Roman"/>
                <w:kern w:val="0"/>
              </w:rPr>
            </w:pPr>
            <w:r>
              <w:rPr>
                <w:rFonts w:ascii="Times New Roman" w:hAnsi="Times New Roman"/>
                <w:kern w:val="0"/>
              </w:rPr>
              <w:t>一半以上天数</w:t>
            </w:r>
          </w:p>
        </w:tc>
        <w:tc>
          <w:tcPr>
            <w:tcW w:w="1089" w:type="dxa"/>
          </w:tcPr>
          <w:p>
            <w:pPr>
              <w:widowControl/>
              <w:jc w:val="left"/>
              <w:rPr>
                <w:rFonts w:ascii="Times New Roman" w:hAnsi="Times New Roman"/>
                <w:kern w:val="0"/>
              </w:rPr>
            </w:pPr>
            <w:r>
              <w:rPr>
                <w:rFonts w:ascii="Times New Roman" w:hAnsi="Times New Roman"/>
                <w:kern w:val="0"/>
              </w:rPr>
              <w:t>几乎每天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4499" w:type="dxa"/>
          </w:tcPr>
          <w:p>
            <w:pPr>
              <w:rPr>
                <w:rFonts w:ascii="Times New Roman" w:hAnsi="Times New Roman"/>
              </w:rPr>
            </w:pPr>
            <w:r>
              <w:rPr>
                <w:rFonts w:ascii="Times New Roman" w:hAnsi="Times New Roman"/>
              </w:rPr>
              <w:t>5.由于不安而无法静坐</w:t>
            </w:r>
          </w:p>
        </w:tc>
        <w:tc>
          <w:tcPr>
            <w:tcW w:w="1111" w:type="dxa"/>
          </w:tcPr>
          <w:p>
            <w:pPr>
              <w:widowControl/>
              <w:jc w:val="left"/>
              <w:rPr>
                <w:rFonts w:ascii="Times New Roman" w:hAnsi="Times New Roman"/>
                <w:kern w:val="0"/>
              </w:rPr>
            </w:pPr>
            <w:r>
              <w:rPr>
                <w:rFonts w:ascii="Times New Roman" w:hAnsi="Times New Roman"/>
                <w:kern w:val="0"/>
              </w:rPr>
              <w:t xml:space="preserve">完全不会 </w:t>
            </w:r>
          </w:p>
        </w:tc>
        <w:tc>
          <w:tcPr>
            <w:tcW w:w="900" w:type="dxa"/>
          </w:tcPr>
          <w:p>
            <w:pPr>
              <w:widowControl/>
              <w:jc w:val="left"/>
              <w:rPr>
                <w:rFonts w:ascii="Times New Roman" w:hAnsi="Times New Roman"/>
                <w:kern w:val="0"/>
              </w:rPr>
            </w:pPr>
            <w:r>
              <w:rPr>
                <w:rFonts w:ascii="Times New Roman" w:hAnsi="Times New Roman"/>
                <w:kern w:val="0"/>
              </w:rPr>
              <w:t>好几天</w:t>
            </w:r>
          </w:p>
        </w:tc>
        <w:tc>
          <w:tcPr>
            <w:tcW w:w="1544" w:type="dxa"/>
          </w:tcPr>
          <w:p>
            <w:pPr>
              <w:widowControl/>
              <w:jc w:val="left"/>
              <w:rPr>
                <w:rFonts w:ascii="Times New Roman" w:hAnsi="Times New Roman"/>
                <w:kern w:val="0"/>
              </w:rPr>
            </w:pPr>
            <w:r>
              <w:rPr>
                <w:rFonts w:ascii="Times New Roman" w:hAnsi="Times New Roman"/>
                <w:kern w:val="0"/>
              </w:rPr>
              <w:t>一半以上天数</w:t>
            </w:r>
          </w:p>
        </w:tc>
        <w:tc>
          <w:tcPr>
            <w:tcW w:w="1089" w:type="dxa"/>
          </w:tcPr>
          <w:p>
            <w:pPr>
              <w:widowControl/>
              <w:jc w:val="left"/>
              <w:rPr>
                <w:rFonts w:ascii="Times New Roman" w:hAnsi="Times New Roman"/>
                <w:kern w:val="0"/>
              </w:rPr>
            </w:pPr>
            <w:r>
              <w:rPr>
                <w:rFonts w:ascii="Times New Roman" w:hAnsi="Times New Roman"/>
                <w:kern w:val="0"/>
              </w:rPr>
              <w:t>几乎每天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4499" w:type="dxa"/>
          </w:tcPr>
          <w:p>
            <w:pPr>
              <w:rPr>
                <w:rFonts w:ascii="Times New Roman" w:hAnsi="Times New Roman"/>
              </w:rPr>
            </w:pPr>
            <w:r>
              <w:rPr>
                <w:rFonts w:ascii="Times New Roman" w:hAnsi="Times New Roman"/>
              </w:rPr>
              <w:t>6.变得容易烦躁或急躁</w:t>
            </w:r>
          </w:p>
        </w:tc>
        <w:tc>
          <w:tcPr>
            <w:tcW w:w="1111" w:type="dxa"/>
          </w:tcPr>
          <w:p>
            <w:pPr>
              <w:widowControl/>
              <w:jc w:val="left"/>
              <w:rPr>
                <w:rFonts w:ascii="Times New Roman" w:hAnsi="Times New Roman"/>
                <w:kern w:val="0"/>
              </w:rPr>
            </w:pPr>
            <w:r>
              <w:rPr>
                <w:rFonts w:ascii="Times New Roman" w:hAnsi="Times New Roman"/>
                <w:kern w:val="0"/>
              </w:rPr>
              <w:t xml:space="preserve">完全不会 </w:t>
            </w:r>
          </w:p>
        </w:tc>
        <w:tc>
          <w:tcPr>
            <w:tcW w:w="900" w:type="dxa"/>
          </w:tcPr>
          <w:p>
            <w:pPr>
              <w:widowControl/>
              <w:jc w:val="left"/>
              <w:rPr>
                <w:rFonts w:ascii="Times New Roman" w:hAnsi="Times New Roman"/>
                <w:kern w:val="0"/>
              </w:rPr>
            </w:pPr>
            <w:r>
              <w:rPr>
                <w:rFonts w:ascii="Times New Roman" w:hAnsi="Times New Roman"/>
                <w:kern w:val="0"/>
              </w:rPr>
              <w:t>好几天</w:t>
            </w:r>
          </w:p>
        </w:tc>
        <w:tc>
          <w:tcPr>
            <w:tcW w:w="1544" w:type="dxa"/>
          </w:tcPr>
          <w:p>
            <w:pPr>
              <w:widowControl/>
              <w:jc w:val="left"/>
              <w:rPr>
                <w:rFonts w:ascii="Times New Roman" w:hAnsi="Times New Roman"/>
                <w:kern w:val="0"/>
              </w:rPr>
            </w:pPr>
            <w:r>
              <w:rPr>
                <w:rFonts w:ascii="Times New Roman" w:hAnsi="Times New Roman"/>
                <w:kern w:val="0"/>
              </w:rPr>
              <w:t>一半以上天数</w:t>
            </w:r>
          </w:p>
        </w:tc>
        <w:tc>
          <w:tcPr>
            <w:tcW w:w="1089" w:type="dxa"/>
          </w:tcPr>
          <w:p>
            <w:pPr>
              <w:widowControl/>
              <w:jc w:val="left"/>
              <w:rPr>
                <w:rFonts w:ascii="Times New Roman" w:hAnsi="Times New Roman"/>
                <w:kern w:val="0"/>
              </w:rPr>
            </w:pPr>
            <w:r>
              <w:rPr>
                <w:rFonts w:ascii="Times New Roman" w:hAnsi="Times New Roman"/>
                <w:kern w:val="0"/>
              </w:rPr>
              <w:t>几乎每天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99" w:type="dxa"/>
          </w:tcPr>
          <w:p>
            <w:pPr>
              <w:rPr>
                <w:rFonts w:ascii="Times New Roman" w:hAnsi="Times New Roman"/>
              </w:rPr>
            </w:pPr>
            <w:r>
              <w:rPr>
                <w:rFonts w:ascii="Times New Roman" w:hAnsi="Times New Roman"/>
              </w:rPr>
              <w:t>7.感到似乎将有可怕的事情发生而害怕</w:t>
            </w:r>
          </w:p>
        </w:tc>
        <w:tc>
          <w:tcPr>
            <w:tcW w:w="1111" w:type="dxa"/>
          </w:tcPr>
          <w:p>
            <w:pPr>
              <w:widowControl/>
              <w:jc w:val="left"/>
              <w:rPr>
                <w:rFonts w:ascii="Times New Roman" w:hAnsi="Times New Roman"/>
                <w:kern w:val="0"/>
              </w:rPr>
            </w:pPr>
            <w:r>
              <w:rPr>
                <w:rFonts w:ascii="Times New Roman" w:hAnsi="Times New Roman"/>
                <w:kern w:val="0"/>
              </w:rPr>
              <w:t xml:space="preserve">完全不会 </w:t>
            </w:r>
          </w:p>
        </w:tc>
        <w:tc>
          <w:tcPr>
            <w:tcW w:w="900" w:type="dxa"/>
          </w:tcPr>
          <w:p>
            <w:pPr>
              <w:widowControl/>
              <w:jc w:val="left"/>
              <w:rPr>
                <w:rFonts w:ascii="Times New Roman" w:hAnsi="Times New Roman"/>
                <w:kern w:val="0"/>
              </w:rPr>
            </w:pPr>
            <w:r>
              <w:rPr>
                <w:rFonts w:ascii="Times New Roman" w:hAnsi="Times New Roman"/>
                <w:kern w:val="0"/>
              </w:rPr>
              <w:t>好几天</w:t>
            </w:r>
          </w:p>
        </w:tc>
        <w:tc>
          <w:tcPr>
            <w:tcW w:w="1544" w:type="dxa"/>
          </w:tcPr>
          <w:p>
            <w:pPr>
              <w:widowControl/>
              <w:jc w:val="left"/>
              <w:rPr>
                <w:rFonts w:ascii="Times New Roman" w:hAnsi="Times New Roman"/>
                <w:kern w:val="0"/>
              </w:rPr>
            </w:pPr>
            <w:r>
              <w:rPr>
                <w:rFonts w:ascii="Times New Roman" w:hAnsi="Times New Roman"/>
                <w:kern w:val="0"/>
              </w:rPr>
              <w:t>一半以上天数</w:t>
            </w:r>
          </w:p>
        </w:tc>
        <w:tc>
          <w:tcPr>
            <w:tcW w:w="1089" w:type="dxa"/>
          </w:tcPr>
          <w:p>
            <w:pPr>
              <w:widowControl/>
              <w:jc w:val="left"/>
              <w:rPr>
                <w:rFonts w:ascii="Times New Roman" w:hAnsi="Times New Roman"/>
                <w:kern w:val="0"/>
              </w:rPr>
            </w:pPr>
            <w:r>
              <w:rPr>
                <w:rFonts w:ascii="Times New Roman" w:hAnsi="Times New Roman"/>
                <w:kern w:val="0"/>
              </w:rPr>
              <w:t>几乎每天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3" w:type="dxa"/>
            <w:gridSpan w:val="5"/>
          </w:tcPr>
          <w:p>
            <w:pPr>
              <w:widowControl/>
              <w:jc w:val="left"/>
              <w:rPr>
                <w:rFonts w:ascii="Times New Roman" w:hAnsi="Times New Roman"/>
                <w:kern w:val="0"/>
              </w:rPr>
            </w:pPr>
            <w:r>
              <w:rPr>
                <w:rFonts w:ascii="Times New Roman" w:hAnsi="Times New Roman"/>
                <w:kern w:val="0"/>
              </w:rPr>
              <w:t>评分标准：当患者得分≥10分则判定患者存在焦虑，建议到精神科进行诊治</w:t>
            </w:r>
          </w:p>
        </w:tc>
      </w:tr>
    </w:tbl>
    <w:p>
      <w:pPr>
        <w:pStyle w:val="56"/>
        <w:ind w:firstLine="0" w:firstLineChars="0"/>
      </w:pPr>
    </w:p>
    <w:p>
      <w:pPr>
        <w:pStyle w:val="56"/>
        <w:ind w:firstLine="420"/>
      </w:pPr>
    </w:p>
    <w:p>
      <w:pPr>
        <w:pStyle w:val="56"/>
        <w:ind w:firstLine="420"/>
      </w:pPr>
    </w:p>
    <w:p>
      <w:pPr>
        <w:pStyle w:val="56"/>
        <w:ind w:firstLine="42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pPr>
    </w:p>
    <w:p>
      <w:pPr>
        <w:pStyle w:val="199"/>
      </w:pPr>
    </w:p>
    <w:p>
      <w:pPr>
        <w:pStyle w:val="76"/>
        <w:spacing w:before="78" w:after="156"/>
        <w:ind w:left="0"/>
      </w:pPr>
      <w:r>
        <w:br w:type="textWrapping"/>
      </w:r>
      <w:bookmarkStart w:id="83" w:name="_Toc170288787"/>
      <w:r>
        <w:rPr>
          <w:rFonts w:hint="eastAsia"/>
        </w:rPr>
        <w:t>（资料性）</w:t>
      </w:r>
      <w:r>
        <w:br w:type="textWrapping"/>
      </w:r>
      <w:r>
        <w:t>乳腺癌患者伴随疾病及症状</w:t>
      </w:r>
      <w:bookmarkEnd w:id="83"/>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1225"/>
        <w:gridCol w:w="1451"/>
        <w:gridCol w:w="1181"/>
        <w:gridCol w:w="1324"/>
        <w:gridCol w:w="1213"/>
        <w:gridCol w:w="1206"/>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pct"/>
            <w:gridSpan w:val="2"/>
            <w:vMerge w:val="restar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随访项目类别</w:t>
            </w:r>
          </w:p>
        </w:tc>
        <w:tc>
          <w:tcPr>
            <w:tcW w:w="1375" w:type="pct"/>
            <w:gridSpan w:val="2"/>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ER(+)PR(+)HER-2（-）</w:t>
            </w:r>
          </w:p>
        </w:tc>
        <w:tc>
          <w:tcPr>
            <w:tcW w:w="1325" w:type="pct"/>
            <w:gridSpan w:val="2"/>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ER(+)PR(+)HER-2（+）</w:t>
            </w:r>
          </w:p>
        </w:tc>
        <w:tc>
          <w:tcPr>
            <w:tcW w:w="630" w:type="pct"/>
            <w:vMerge w:val="restar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ER(-)PR(-)</w:t>
            </w:r>
          </w:p>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HER-2（+）</w:t>
            </w:r>
          </w:p>
        </w:tc>
        <w:tc>
          <w:tcPr>
            <w:tcW w:w="692" w:type="pct"/>
            <w:vMerge w:val="restart"/>
            <w:vAlign w:val="center"/>
          </w:tcPr>
          <w:p>
            <w:pPr>
              <w:tabs>
                <w:tab w:val="left" w:pos="505"/>
              </w:tabs>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ER(-)PR(-)</w:t>
            </w:r>
          </w:p>
          <w:p>
            <w:pPr>
              <w:tabs>
                <w:tab w:val="left" w:pos="505"/>
              </w:tabs>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HER-2（-）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9" w:type="pct"/>
            <w:gridSpan w:val="2"/>
            <w:vMerge w:val="continue"/>
            <w:vAlign w:val="center"/>
          </w:tcPr>
          <w:p>
            <w:pPr>
              <w:snapToGrid w:val="0"/>
              <w:jc w:val="center"/>
              <w:rPr>
                <w:rFonts w:ascii="Times New Roman" w:hAnsi="Times New Roman"/>
                <w:color w:val="000000" w:themeColor="text1"/>
                <w14:textFill>
                  <w14:solidFill>
                    <w14:schemeClr w14:val="tx1"/>
                  </w14:solidFill>
                </w14:textFill>
              </w:rPr>
            </w:pP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绝经前</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绝经后</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绝经前</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绝经后</w:t>
            </w:r>
          </w:p>
        </w:tc>
        <w:tc>
          <w:tcPr>
            <w:tcW w:w="630" w:type="pct"/>
            <w:vMerge w:val="continue"/>
            <w:vAlign w:val="center"/>
          </w:tcPr>
          <w:p>
            <w:pPr>
              <w:snapToGrid w:val="0"/>
              <w:jc w:val="center"/>
              <w:rPr>
                <w:rFonts w:ascii="Times New Roman" w:hAnsi="Times New Roman"/>
                <w:color w:val="000000" w:themeColor="text1"/>
                <w14:textFill>
                  <w14:solidFill>
                    <w14:schemeClr w14:val="tx1"/>
                  </w14:solidFill>
                </w14:textFill>
              </w:rPr>
            </w:pPr>
          </w:p>
        </w:tc>
        <w:tc>
          <w:tcPr>
            <w:tcW w:w="692" w:type="pct"/>
            <w:vMerge w:val="continue"/>
            <w:vAlign w:val="center"/>
          </w:tcPr>
          <w:p>
            <w:pPr>
              <w:snapToGrid w:val="0"/>
              <w:jc w:val="center"/>
              <w:rPr>
                <w:rFonts w:ascii="Times New Roman" w:hAnsi="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vMerge w:val="restar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循环</w:t>
            </w:r>
          </w:p>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系统</w:t>
            </w:r>
          </w:p>
        </w:tc>
        <w:tc>
          <w:tcPr>
            <w:tcW w:w="64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血脂</w:t>
            </w: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vMerge w:val="continue"/>
            <w:vAlign w:val="center"/>
          </w:tcPr>
          <w:p>
            <w:pPr>
              <w:snapToGrid w:val="0"/>
              <w:jc w:val="center"/>
              <w:rPr>
                <w:rFonts w:ascii="Times New Roman" w:hAnsi="Times New Roman"/>
                <w:color w:val="000000" w:themeColor="text1"/>
                <w14:textFill>
                  <w14:solidFill>
                    <w14:schemeClr w14:val="tx1"/>
                  </w14:solidFill>
                </w14:textFill>
              </w:rPr>
            </w:pPr>
          </w:p>
        </w:tc>
        <w:tc>
          <w:tcPr>
            <w:tcW w:w="64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化疗相关心脏毒性</w:t>
            </w: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vMerge w:val="continue"/>
            <w:vAlign w:val="center"/>
          </w:tcPr>
          <w:p>
            <w:pPr>
              <w:snapToGrid w:val="0"/>
              <w:jc w:val="center"/>
              <w:rPr>
                <w:rFonts w:ascii="Times New Roman" w:hAnsi="Times New Roman"/>
                <w:color w:val="000000" w:themeColor="text1"/>
                <w14:textFill>
                  <w14:solidFill>
                    <w14:schemeClr w14:val="tx1"/>
                  </w14:solidFill>
                </w14:textFill>
              </w:rPr>
            </w:pPr>
          </w:p>
        </w:tc>
        <w:tc>
          <w:tcPr>
            <w:tcW w:w="64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靶向药物相关心脏毒性</w:t>
            </w: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否</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否</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vMerge w:val="continue"/>
            <w:vAlign w:val="center"/>
          </w:tcPr>
          <w:p>
            <w:pPr>
              <w:snapToGrid w:val="0"/>
              <w:jc w:val="center"/>
              <w:rPr>
                <w:rFonts w:ascii="Times New Roman" w:hAnsi="Times New Roman"/>
                <w:color w:val="000000" w:themeColor="text1"/>
                <w14:textFill>
                  <w14:solidFill>
                    <w14:schemeClr w14:val="tx1"/>
                  </w14:solidFill>
                </w14:textFill>
              </w:rPr>
            </w:pPr>
          </w:p>
        </w:tc>
        <w:tc>
          <w:tcPr>
            <w:tcW w:w="64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静脉血栓</w:t>
            </w: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vMerge w:val="restar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呼吸</w:t>
            </w:r>
          </w:p>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系统</w:t>
            </w:r>
          </w:p>
        </w:tc>
        <w:tc>
          <w:tcPr>
            <w:tcW w:w="64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药物治疗相关肺炎</w:t>
            </w: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vMerge w:val="continue"/>
            <w:vAlign w:val="center"/>
          </w:tcPr>
          <w:p>
            <w:pPr>
              <w:snapToGrid w:val="0"/>
              <w:jc w:val="center"/>
              <w:rPr>
                <w:rFonts w:ascii="Times New Roman" w:hAnsi="Times New Roman"/>
                <w:color w:val="000000" w:themeColor="text1"/>
                <w14:textFill>
                  <w14:solidFill>
                    <w14:schemeClr w14:val="tx1"/>
                  </w14:solidFill>
                </w14:textFill>
              </w:rPr>
            </w:pPr>
          </w:p>
        </w:tc>
        <w:tc>
          <w:tcPr>
            <w:tcW w:w="64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放射性肺炎</w:t>
            </w: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vMerge w:val="restar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运动</w:t>
            </w:r>
          </w:p>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系统</w:t>
            </w:r>
          </w:p>
        </w:tc>
        <w:tc>
          <w:tcPr>
            <w:tcW w:w="64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骨密度</w:t>
            </w: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是(仅对AI药物治疗患者)</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是(仅对AI药物治疗患者)</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否</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vMerge w:val="continue"/>
            <w:vAlign w:val="center"/>
          </w:tcPr>
          <w:p>
            <w:pPr>
              <w:snapToGrid w:val="0"/>
              <w:jc w:val="center"/>
              <w:rPr>
                <w:rFonts w:ascii="Times New Roman" w:hAnsi="Times New Roman"/>
                <w:color w:val="000000" w:themeColor="text1"/>
                <w14:textFill>
                  <w14:solidFill>
                    <w14:schemeClr w14:val="tx1"/>
                  </w14:solidFill>
                </w14:textFill>
              </w:rPr>
            </w:pPr>
          </w:p>
        </w:tc>
        <w:tc>
          <w:tcPr>
            <w:tcW w:w="64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肌肉疼痛</w:t>
            </w: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是(仅对AI药物治疗患者)</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是(仅对AI药物治疗患者)</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否</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消化</w:t>
            </w:r>
          </w:p>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系统</w:t>
            </w:r>
          </w:p>
        </w:tc>
        <w:tc>
          <w:tcPr>
            <w:tcW w:w="64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药物肝损伤</w:t>
            </w: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339" w:type="pct"/>
            <w:vMerge w:val="restar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生殖</w:t>
            </w:r>
          </w:p>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系统</w:t>
            </w:r>
          </w:p>
        </w:tc>
        <w:tc>
          <w:tcPr>
            <w:tcW w:w="64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子宫内膜增厚</w:t>
            </w: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否</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vMerge w:val="continue"/>
            <w:vAlign w:val="center"/>
          </w:tcPr>
          <w:p>
            <w:pPr>
              <w:snapToGrid w:val="0"/>
              <w:jc w:val="center"/>
              <w:rPr>
                <w:rFonts w:ascii="Times New Roman" w:hAnsi="Times New Roman"/>
                <w:color w:val="000000" w:themeColor="text1"/>
                <w14:textFill>
                  <w14:solidFill>
                    <w14:schemeClr w14:val="tx1"/>
                  </w14:solidFill>
                </w14:textFill>
              </w:rPr>
            </w:pPr>
          </w:p>
        </w:tc>
        <w:tc>
          <w:tcPr>
            <w:tcW w:w="64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萎缩性阴道炎</w:t>
            </w: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否</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39" w:type="pct"/>
            <w:vMerge w:val="continue"/>
            <w:vAlign w:val="center"/>
          </w:tcPr>
          <w:p>
            <w:pPr>
              <w:snapToGrid w:val="0"/>
              <w:jc w:val="center"/>
              <w:rPr>
                <w:rFonts w:ascii="Times New Roman" w:hAnsi="Times New Roman"/>
                <w:color w:val="000000" w:themeColor="text1"/>
                <w14:textFill>
                  <w14:solidFill>
                    <w14:schemeClr w14:val="tx1"/>
                  </w14:solidFill>
                </w14:textFill>
              </w:rPr>
            </w:pPr>
          </w:p>
        </w:tc>
        <w:tc>
          <w:tcPr>
            <w:tcW w:w="64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性健康</w:t>
            </w: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339" w:type="pct"/>
            <w:vMerge w:val="continue"/>
            <w:vAlign w:val="center"/>
          </w:tcPr>
          <w:p>
            <w:pPr>
              <w:snapToGrid w:val="0"/>
              <w:jc w:val="center"/>
              <w:rPr>
                <w:rFonts w:ascii="Times New Roman" w:hAnsi="Times New Roman"/>
                <w:color w:val="000000" w:themeColor="text1"/>
                <w14:textFill>
                  <w14:solidFill>
                    <w14:schemeClr w14:val="tx1"/>
                  </w14:solidFill>
                </w14:textFill>
              </w:rPr>
            </w:pPr>
          </w:p>
        </w:tc>
        <w:tc>
          <w:tcPr>
            <w:tcW w:w="64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更年期综合征</w:t>
            </w: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vMerge w:val="restar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皮肤和皮下组织</w:t>
            </w:r>
          </w:p>
        </w:tc>
        <w:tc>
          <w:tcPr>
            <w:tcW w:w="64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上肢淋巴水肿</w:t>
            </w: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339" w:type="pct"/>
            <w:vMerge w:val="continue"/>
            <w:vAlign w:val="center"/>
          </w:tcPr>
          <w:p>
            <w:pPr>
              <w:snapToGrid w:val="0"/>
              <w:jc w:val="center"/>
              <w:rPr>
                <w:rFonts w:ascii="Times New Roman" w:hAnsi="Times New Roman"/>
                <w:color w:val="000000" w:themeColor="text1"/>
                <w14:textFill>
                  <w14:solidFill>
                    <w14:schemeClr w14:val="tx1"/>
                  </w14:solidFill>
                </w14:textFill>
              </w:rPr>
            </w:pPr>
          </w:p>
        </w:tc>
        <w:tc>
          <w:tcPr>
            <w:tcW w:w="64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放射性皮肤损伤</w:t>
            </w: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是（放疗</w:t>
            </w:r>
          </w:p>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患者）</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是（放疗</w:t>
            </w:r>
          </w:p>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患者）</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是（放疗患者）</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是（放疗患者）</w:t>
            </w:r>
          </w:p>
        </w:tc>
        <w:tc>
          <w:tcPr>
            <w:tcW w:w="63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是（放疗患者）</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（放疗患者）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vMerge w:val="continue"/>
            <w:vAlign w:val="center"/>
          </w:tcPr>
          <w:p>
            <w:pPr>
              <w:snapToGrid w:val="0"/>
              <w:jc w:val="center"/>
              <w:rPr>
                <w:rFonts w:ascii="Times New Roman" w:hAnsi="Times New Roman"/>
                <w:color w:val="000000" w:themeColor="text1"/>
                <w14:textFill>
                  <w14:solidFill>
                    <w14:schemeClr w14:val="tx1"/>
                  </w14:solidFill>
                </w14:textFill>
              </w:rPr>
            </w:pPr>
          </w:p>
        </w:tc>
        <w:tc>
          <w:tcPr>
            <w:tcW w:w="64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乳腺纤维化</w:t>
            </w: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是（保乳后放疗患者）</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是（保乳后放疗患者）</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是（保乳后放疗患者）</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是（保乳后放疗患者）</w:t>
            </w:r>
          </w:p>
        </w:tc>
        <w:tc>
          <w:tcPr>
            <w:tcW w:w="63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是（保乳后放疗患者）</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是（保乳后放疗患者）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339"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神经</w:t>
            </w:r>
          </w:p>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系统</w:t>
            </w:r>
          </w:p>
        </w:tc>
        <w:tc>
          <w:tcPr>
            <w:tcW w:w="64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外周神经病变</w:t>
            </w: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是（紫杉类等化疗患者）</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r>
              <w:rPr>
                <w:rFonts w:ascii="Times New Roman" w:hAnsi="Times New Roman"/>
                <w:color w:val="000000" w:themeColor="text1"/>
                <w:sz w:val="20"/>
                <w:szCs w:val="20"/>
                <w14:textFill>
                  <w14:solidFill>
                    <w14:schemeClr w14:val="tx1"/>
                  </w14:solidFill>
                </w14:textFill>
              </w:rPr>
              <w:t>（紫杉类等化疗患者）</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是（紫杉类等化疗患者）</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是（紫杉类等化疗患者）</w:t>
            </w:r>
          </w:p>
        </w:tc>
        <w:tc>
          <w:tcPr>
            <w:tcW w:w="63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是（紫杉类等化疗患者）</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是（紫杉类等化疗患者）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979" w:type="pct"/>
            <w:gridSpan w:val="2"/>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精神心理</w:t>
            </w:r>
          </w:p>
        </w:tc>
        <w:tc>
          <w:tcPr>
            <w:tcW w:w="758"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17"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4"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30"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c>
          <w:tcPr>
            <w:tcW w:w="692" w:type="pct"/>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vAlign w:val="center"/>
          </w:tcPr>
          <w:p>
            <w:pPr>
              <w:snapToGrid w:val="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注：ER:雌激素受体；PR:孕激素受体；HER-2:人类表皮生长因子受体2；AI:芳香化酶抑制剂</w:t>
            </w:r>
          </w:p>
        </w:tc>
      </w:tr>
    </w:tbl>
    <w:p>
      <w:pPr>
        <w:pStyle w:val="56"/>
        <w:ind w:firstLine="0" w:firstLineChars="0"/>
      </w:pPr>
    </w:p>
    <w:p>
      <w:pPr>
        <w:pStyle w:val="56"/>
        <w:ind w:firstLine="420"/>
      </w:pPr>
    </w:p>
    <w:p>
      <w:pPr>
        <w:pStyle w:val="56"/>
        <w:ind w:firstLine="420"/>
      </w:pPr>
    </w:p>
    <w:p>
      <w:pPr>
        <w:pStyle w:val="56"/>
        <w:ind w:firstLine="42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pPr>
    </w:p>
    <w:p>
      <w:pPr>
        <w:pStyle w:val="199"/>
      </w:pPr>
    </w:p>
    <w:p>
      <w:pPr>
        <w:pStyle w:val="76"/>
        <w:spacing w:before="78" w:after="156"/>
        <w:ind w:left="0"/>
      </w:pPr>
      <w:r>
        <w:br w:type="textWrapping"/>
      </w:r>
      <w:bookmarkStart w:id="84" w:name="_Toc170288788"/>
      <w:r>
        <w:rPr>
          <w:rFonts w:hint="eastAsia"/>
        </w:rPr>
        <w:t>（规范性）</w:t>
      </w:r>
      <w:r>
        <w:br w:type="textWrapping"/>
      </w:r>
      <w:r>
        <w:t>乳腺癌</w:t>
      </w:r>
      <w:r>
        <w:rPr>
          <w:rFonts w:hint="eastAsia"/>
        </w:rPr>
        <w:t>患者</w:t>
      </w:r>
      <w:r>
        <w:t>各阶段康复指导内容</w:t>
      </w:r>
      <w:bookmarkEnd w:id="84"/>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8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napToGrid w:val="0"/>
              <w:spacing w:line="324" w:lineRule="auto"/>
              <w:jc w:val="center"/>
              <w:rPr>
                <w:rFonts w:ascii="Times New Roman" w:hAnsi="Times New Roman" w:eastAsia="黑体"/>
                <w:color w:val="000000" w:themeColor="text1"/>
                <w14:textFill>
                  <w14:solidFill>
                    <w14:schemeClr w14:val="tx1"/>
                  </w14:solidFill>
                </w14:textFill>
              </w:rPr>
            </w:pPr>
            <w:r>
              <w:rPr>
                <w:rFonts w:ascii="Times New Roman" w:hAnsi="Times New Roman" w:eastAsia="黑体"/>
                <w:color w:val="000000" w:themeColor="text1"/>
                <w14:textFill>
                  <w14:solidFill>
                    <w14:schemeClr w14:val="tx1"/>
                  </w14:solidFill>
                </w14:textFill>
              </w:rPr>
              <w:t>随访阶段</w:t>
            </w:r>
          </w:p>
        </w:tc>
        <w:tc>
          <w:tcPr>
            <w:tcW w:w="8469" w:type="dxa"/>
          </w:tcPr>
          <w:p>
            <w:pPr>
              <w:snapToGrid w:val="0"/>
              <w:spacing w:line="324" w:lineRule="auto"/>
              <w:jc w:val="left"/>
              <w:rPr>
                <w:rFonts w:ascii="Times New Roman" w:hAnsi="Times New Roman" w:eastAsia="黑体"/>
                <w:color w:val="000000" w:themeColor="text1"/>
                <w14:textFill>
                  <w14:solidFill>
                    <w14:schemeClr w14:val="tx1"/>
                  </w14:solidFill>
                </w14:textFill>
              </w:rPr>
            </w:pPr>
            <w:r>
              <w:rPr>
                <w:rFonts w:ascii="Times New Roman" w:hAnsi="Times New Roman" w:eastAsia="黑体"/>
                <w:color w:val="000000" w:themeColor="text1"/>
                <w14:textFill>
                  <w14:solidFill>
                    <w14:schemeClr w14:val="tx1"/>
                  </w14:solidFill>
                </w14:textFill>
              </w:rPr>
              <w:t>康复指导内容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pStyle w:val="12"/>
              <w:snapToGrid w:val="0"/>
              <w:spacing w:line="360" w:lineRule="exact"/>
              <w:ind w:firstLine="0"/>
              <w:rPr>
                <w:rFonts w:ascii="Times New Roman" w:hAnsi="Times New Roman" w:eastAsia="黑体"/>
                <w:kern w:val="44"/>
              </w:rPr>
            </w:pPr>
          </w:p>
          <w:p>
            <w:pPr>
              <w:pStyle w:val="12"/>
              <w:snapToGrid w:val="0"/>
              <w:spacing w:line="360" w:lineRule="exact"/>
              <w:ind w:firstLine="0"/>
              <w:jc w:val="center"/>
              <w:rPr>
                <w:rFonts w:ascii="Times New Roman" w:hAnsi="Times New Roman" w:eastAsia="黑体"/>
                <w:color w:val="000000" w:themeColor="text1"/>
                <w14:textFill>
                  <w14:solidFill>
                    <w14:schemeClr w14:val="tx1"/>
                  </w14:solidFill>
                </w14:textFill>
              </w:rPr>
            </w:pPr>
            <w:r>
              <w:rPr>
                <w:rFonts w:ascii="Times New Roman" w:hAnsi="Times New Roman" w:eastAsia="黑体"/>
                <w:kern w:val="44"/>
              </w:rPr>
              <w:t>手术后</w:t>
            </w:r>
          </w:p>
        </w:tc>
        <w:tc>
          <w:tcPr>
            <w:tcW w:w="8469" w:type="dxa"/>
          </w:tcPr>
          <w:p>
            <w:pPr>
              <w:snapToGrid w:val="0"/>
              <w:spacing w:line="360" w:lineRule="exact"/>
              <w:jc w:val="left"/>
              <w:rPr>
                <w:rFonts w:ascii="Times New Roman" w:hAnsi="Times New Roman"/>
              </w:rPr>
            </w:pPr>
            <w:r>
              <w:rPr>
                <w:rFonts w:ascii="Times New Roman" w:hAnsi="Times New Roman"/>
              </w:rPr>
              <w:t>①引流管维护：有效负压吸引；妥善固定；保持引流通畅；观察引流液颜色和量。</w:t>
            </w:r>
          </w:p>
          <w:p>
            <w:pPr>
              <w:snapToGrid w:val="0"/>
              <w:spacing w:line="360" w:lineRule="exact"/>
              <w:jc w:val="left"/>
              <w:rPr>
                <w:rFonts w:ascii="Times New Roman" w:hAnsi="Times New Roman"/>
              </w:rPr>
            </w:pPr>
            <w:r>
              <w:rPr>
                <w:rFonts w:ascii="Times New Roman" w:hAnsi="Times New Roman"/>
              </w:rPr>
              <w:t>②手术伤口护理：有效加压包扎，密切观察伤口情况，包括有无渗血、渗液、移位，保持敷料干燥等。</w:t>
            </w:r>
          </w:p>
          <w:p>
            <w:pPr>
              <w:snapToGrid w:val="0"/>
              <w:spacing w:line="360" w:lineRule="exact"/>
              <w:jc w:val="left"/>
              <w:rPr>
                <w:rFonts w:ascii="Times New Roman" w:hAnsi="Times New Roman"/>
              </w:rPr>
            </w:pPr>
            <w:r>
              <w:rPr>
                <w:rFonts w:ascii="Times New Roman" w:hAnsi="Times New Roman"/>
              </w:rPr>
              <w:t>③预防并发症：包括皮下积液、皮瓣坏死，出血与血肿等。</w:t>
            </w:r>
          </w:p>
          <w:p>
            <w:pPr>
              <w:snapToGrid w:val="0"/>
              <w:spacing w:line="360" w:lineRule="exact"/>
              <w:jc w:val="left"/>
              <w:rPr>
                <w:rFonts w:ascii="Times New Roman" w:hAnsi="Times New Roman"/>
              </w:rPr>
            </w:pPr>
            <w:r>
              <w:rPr>
                <w:rFonts w:ascii="Times New Roman" w:hAnsi="Times New Roman"/>
              </w:rPr>
              <w:t>④术侧肢体功能锻炼指导：包括功能锻炼方法，肢体活动度评估、淋巴水肿预防等。、</w:t>
            </w:r>
          </w:p>
          <w:p>
            <w:pPr>
              <w:snapToGrid w:val="0"/>
              <w:spacing w:line="360" w:lineRule="exact"/>
              <w:jc w:val="left"/>
              <w:rPr>
                <w:rFonts w:ascii="Times New Roman" w:hAnsi="Times New Roman"/>
              </w:rPr>
            </w:pPr>
            <w:r>
              <w:rPr>
                <w:rFonts w:ascii="Times New Roman" w:hAnsi="Times New Roman"/>
              </w:rPr>
              <w:t>⑤义乳佩戴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pStyle w:val="12"/>
              <w:snapToGrid w:val="0"/>
              <w:spacing w:line="360" w:lineRule="exact"/>
              <w:ind w:firstLine="0"/>
              <w:jc w:val="center"/>
              <w:rPr>
                <w:rFonts w:ascii="Times New Roman" w:hAnsi="Times New Roman" w:eastAsia="黑体"/>
                <w:kern w:val="44"/>
              </w:rPr>
            </w:pPr>
            <w:r>
              <w:rPr>
                <w:rFonts w:ascii="Times New Roman" w:hAnsi="Times New Roman" w:eastAsia="黑体"/>
                <w:kern w:val="44"/>
              </w:rPr>
              <w:t>化疗期</w:t>
            </w:r>
          </w:p>
          <w:p>
            <w:pPr>
              <w:snapToGrid w:val="0"/>
              <w:spacing w:line="360" w:lineRule="exact"/>
              <w:jc w:val="center"/>
              <w:rPr>
                <w:rFonts w:ascii="Times New Roman" w:hAnsi="Times New Roman" w:eastAsia="黑体"/>
                <w:color w:val="000000" w:themeColor="text1"/>
                <w14:textFill>
                  <w14:solidFill>
                    <w14:schemeClr w14:val="tx1"/>
                  </w14:solidFill>
                </w14:textFill>
              </w:rPr>
            </w:pPr>
          </w:p>
        </w:tc>
        <w:tc>
          <w:tcPr>
            <w:tcW w:w="8469" w:type="dxa"/>
          </w:tcPr>
          <w:p>
            <w:pPr>
              <w:snapToGrid w:val="0"/>
              <w:spacing w:line="360" w:lineRule="exact"/>
              <w:jc w:val="left"/>
              <w:rPr>
                <w:rFonts w:ascii="Times New Roman" w:hAnsi="Times New Roman"/>
              </w:rPr>
            </w:pPr>
            <w:r>
              <w:rPr>
                <w:rFonts w:ascii="Times New Roman" w:hAnsi="Times New Roman"/>
              </w:rPr>
              <w:t>①告知患者可能会出现的反应，指导患者自我报告。</w:t>
            </w:r>
          </w:p>
          <w:p>
            <w:pPr>
              <w:snapToGrid w:val="0"/>
              <w:spacing w:line="360" w:lineRule="exact"/>
              <w:jc w:val="left"/>
              <w:rPr>
                <w:rFonts w:ascii="Times New Roman" w:hAnsi="Times New Roman"/>
              </w:rPr>
            </w:pPr>
            <w:r>
              <w:rPr>
                <w:rFonts w:ascii="Times New Roman" w:hAnsi="Times New Roman"/>
              </w:rPr>
              <w:t>②消化系统反应：如恶心、呕吐、腹泻、便秘等，给予相应指导。</w:t>
            </w:r>
          </w:p>
          <w:p>
            <w:pPr>
              <w:snapToGrid w:val="0"/>
              <w:spacing w:line="360" w:lineRule="exact"/>
              <w:jc w:val="left"/>
              <w:rPr>
                <w:rFonts w:ascii="Times New Roman" w:hAnsi="Times New Roman"/>
              </w:rPr>
            </w:pPr>
            <w:r>
              <w:rPr>
                <w:rFonts w:ascii="Times New Roman" w:hAnsi="Times New Roman"/>
              </w:rPr>
              <w:t>③骨髓抑制反应：包括白细胞和血小板降低，定期监测血常规，根据结果干预。</w:t>
            </w:r>
          </w:p>
          <w:p>
            <w:pPr>
              <w:snapToGrid w:val="0"/>
              <w:spacing w:line="360" w:lineRule="exact"/>
              <w:jc w:val="left"/>
              <w:rPr>
                <w:rFonts w:ascii="Times New Roman" w:hAnsi="Times New Roman"/>
              </w:rPr>
            </w:pPr>
            <w:r>
              <w:rPr>
                <w:rFonts w:ascii="Times New Roman" w:hAnsi="Times New Roman"/>
              </w:rPr>
              <w:t>④脱发反应：指导患者佩戴假发，并告知患者脱发是可逆的。</w:t>
            </w:r>
          </w:p>
          <w:p>
            <w:pPr>
              <w:snapToGrid w:val="0"/>
              <w:spacing w:line="360" w:lineRule="exact"/>
              <w:jc w:val="left"/>
              <w:rPr>
                <w:rFonts w:ascii="Times New Roman" w:hAnsi="Times New Roman"/>
              </w:rPr>
            </w:pPr>
            <w:r>
              <w:rPr>
                <w:rFonts w:ascii="Times New Roman" w:hAnsi="Times New Roman"/>
              </w:rPr>
              <w:t>⑤周围神经反应：指导患者有任何手足麻木、刺痛症状应及时向医生报告；指导患者手脚局部锻炼和按摩，穿着棉质手套或袜子、注意保暖。</w:t>
            </w:r>
          </w:p>
          <w:p>
            <w:pPr>
              <w:snapToGrid w:val="0"/>
              <w:spacing w:line="360" w:lineRule="exact"/>
              <w:jc w:val="left"/>
              <w:rPr>
                <w:rFonts w:ascii="Times New Roman" w:hAnsi="Times New Roman"/>
              </w:rPr>
            </w:pPr>
            <w:r>
              <w:rPr>
                <w:rFonts w:ascii="Times New Roman" w:hAnsi="Times New Roman"/>
              </w:rPr>
              <w:t>⑥口腔黏膜反应：做好口腔粘膜炎分级评估，指导患者做好口腔清洁，具体可参考《中国癌症症状管理实践指南——口腔黏膜炎》。</w:t>
            </w:r>
          </w:p>
          <w:p>
            <w:pPr>
              <w:snapToGrid w:val="0"/>
              <w:spacing w:line="360" w:lineRule="exact"/>
              <w:jc w:val="left"/>
              <w:rPr>
                <w:rFonts w:ascii="Times New Roman" w:hAnsi="Times New Roman"/>
              </w:rPr>
            </w:pPr>
            <w:r>
              <w:rPr>
                <w:rFonts w:ascii="Times New Roman" w:hAnsi="Times New Roman"/>
              </w:rPr>
              <w:t>⑦心脏毒性反应：定期随诊随访其心脏功能情况；心功能正常患者每年随访，高危患者提高随访频次。</w:t>
            </w:r>
          </w:p>
          <w:p>
            <w:pPr>
              <w:snapToGrid w:val="0"/>
              <w:spacing w:line="360" w:lineRule="exact"/>
              <w:jc w:val="left"/>
              <w:rPr>
                <w:rFonts w:ascii="Times New Roman" w:hAnsi="Times New Roman"/>
              </w:rPr>
            </w:pPr>
            <w:r>
              <w:rPr>
                <w:rFonts w:ascii="Times New Roman" w:hAnsi="Times New Roman"/>
              </w:rPr>
              <w:t>⑧血脂异常：密切监测血脂情况，包括总胆固醇、甘油三酯、低密度脂蛋白胆固醇和高密度脂蛋白胆固醇；给予适当生活方式干预，包括调整饮食结构、运动、戒烟等，防治动脉粥样硬化性心血管病。</w:t>
            </w:r>
          </w:p>
          <w:p>
            <w:pPr>
              <w:snapToGrid w:val="0"/>
              <w:spacing w:line="360" w:lineRule="exact"/>
              <w:jc w:val="left"/>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⑨中心静脉导管相关并发症：定期随访患者有无出现感染、血栓、出血、水肿、静脉炎等中心静脉导管相关并发症。</w:t>
            </w:r>
          </w:p>
          <w:p>
            <w:pPr>
              <w:snapToGrid w:val="0"/>
              <w:spacing w:line="360" w:lineRule="exact"/>
              <w:jc w:val="left"/>
              <w:rPr>
                <w:rFonts w:ascii="Times New Roman" w:hAnsi="Times New Roman" w:eastAsia="黑体"/>
                <w:color w:val="000000" w:themeColor="text1"/>
                <w14:textFill>
                  <w14:solidFill>
                    <w14:schemeClr w14:val="tx1"/>
                  </w14:solidFill>
                </w14:textFill>
              </w:rPr>
            </w:pPr>
            <w:r>
              <w:rPr>
                <w:rFonts w:ascii="Times New Roman" w:hAnsi="Times New Roman"/>
              </w:rPr>
              <w:t>⑩其他反应：如肝肾功能损害等，定期监测，通过辅助药物减轻毒副作用。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napToGrid w:val="0"/>
              <w:spacing w:line="360" w:lineRule="exact"/>
              <w:jc w:val="center"/>
              <w:rPr>
                <w:rFonts w:ascii="Times New Roman" w:hAnsi="Times New Roman" w:eastAsia="黑体"/>
                <w:color w:val="000000" w:themeColor="text1"/>
                <w14:textFill>
                  <w14:solidFill>
                    <w14:schemeClr w14:val="tx1"/>
                  </w14:solidFill>
                </w14:textFill>
              </w:rPr>
            </w:pPr>
            <w:r>
              <w:rPr>
                <w:rFonts w:ascii="Times New Roman" w:hAnsi="Times New Roman" w:eastAsia="黑体"/>
                <w:kern w:val="44"/>
              </w:rPr>
              <w:t>放疗期</w:t>
            </w:r>
          </w:p>
        </w:tc>
        <w:tc>
          <w:tcPr>
            <w:tcW w:w="8469" w:type="dxa"/>
          </w:tcPr>
          <w:p>
            <w:pPr>
              <w:snapToGrid w:val="0"/>
              <w:spacing w:line="360" w:lineRule="exact"/>
              <w:rPr>
                <w:rFonts w:ascii="Times New Roman" w:hAnsi="Times New Roman"/>
              </w:rPr>
            </w:pPr>
            <w:r>
              <w:rPr>
                <w:rFonts w:ascii="Times New Roman" w:hAnsi="Times New Roman"/>
              </w:rPr>
              <w:t>①皮肤反应：包括皮肤瘙痒，色素沉着，照射部位湿疹、水泡，严重时可造成糜烂、破溃等。指导患者放疗前可使用预防性皮肤保护剂；穿着宽松、柔软的内衣，禁止在放射治疗时穿戴胸罩，避免与皮肤摩擦加重皮损情况；根据患者实际皮肤状态给予温和的止痒、润肤产品；禁止对干痒处抓挠；出现破损、出血、溃疡，请及时就医，对创面进行清洁，以医用敷料进行覆盖；做好日常清洁并保持皮损处皮肤干燥等。</w:t>
            </w:r>
          </w:p>
          <w:p>
            <w:pPr>
              <w:snapToGrid w:val="0"/>
              <w:spacing w:line="360" w:lineRule="exact"/>
              <w:rPr>
                <w:rFonts w:ascii="Times New Roman" w:hAnsi="Times New Roman"/>
              </w:rPr>
            </w:pPr>
            <w:r>
              <w:rPr>
                <w:rFonts w:ascii="Times New Roman" w:hAnsi="Times New Roman"/>
              </w:rPr>
              <w:t>②心脏毒性反应：放疗可能引起心包、心肌、冠状动脉、心脏传导系统等多种心脏组织结构的损伤。在放疗后定期进行心肌酶谱、心电图、超声心动图、冠脉CT血管成像技术等辅助检查，以及时发现心包病变、心肌病、冠状动脉病变、心律失常等。</w:t>
            </w:r>
          </w:p>
          <w:p>
            <w:pPr>
              <w:snapToGrid w:val="0"/>
              <w:spacing w:line="360" w:lineRule="exact"/>
              <w:rPr>
                <w:rFonts w:ascii="Times New Roman" w:hAnsi="Times New Roman"/>
              </w:rPr>
            </w:pPr>
            <w:r>
              <w:rPr>
                <w:rFonts w:ascii="Times New Roman" w:hAnsi="Times New Roman"/>
              </w:rPr>
              <w:t>③放射性肺炎：放射性肺炎通常发生于放疗后的1~6个月内，临床可表现为发热、刺激性干咳、胸痛、呼吸困难等，多数患者只有影像学改变，缺乏临床症状，鼓励患者自我报告，一旦发现，积极处理。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pStyle w:val="12"/>
              <w:snapToGrid w:val="0"/>
              <w:spacing w:line="360" w:lineRule="exact"/>
              <w:ind w:firstLine="0"/>
              <w:jc w:val="center"/>
              <w:rPr>
                <w:rFonts w:ascii="Times New Roman" w:hAnsi="Times New Roman" w:eastAsia="黑体"/>
                <w:kern w:val="44"/>
              </w:rPr>
            </w:pPr>
            <w:r>
              <w:rPr>
                <w:rFonts w:ascii="Times New Roman" w:hAnsi="Times New Roman" w:eastAsia="黑体"/>
                <w:kern w:val="44"/>
              </w:rPr>
              <w:t>靶向治疗</w:t>
            </w:r>
          </w:p>
          <w:p>
            <w:pPr>
              <w:snapToGrid w:val="0"/>
              <w:spacing w:line="360" w:lineRule="exact"/>
              <w:jc w:val="center"/>
              <w:rPr>
                <w:rFonts w:ascii="Times New Roman" w:hAnsi="Times New Roman" w:eastAsia="黑体"/>
                <w:kern w:val="44"/>
              </w:rPr>
            </w:pPr>
          </w:p>
        </w:tc>
        <w:tc>
          <w:tcPr>
            <w:tcW w:w="8469" w:type="dxa"/>
          </w:tcPr>
          <w:p>
            <w:pPr>
              <w:snapToGrid w:val="0"/>
              <w:spacing w:line="360" w:lineRule="exact"/>
              <w:rPr>
                <w:rFonts w:ascii="Times New Roman" w:hAnsi="Times New Roman"/>
              </w:rPr>
            </w:pPr>
            <w:r>
              <w:rPr>
                <w:rFonts w:ascii="Times New Roman" w:hAnsi="Times New Roman"/>
              </w:rPr>
              <w:t>①心肌病：曲妥珠单抗诱导的心脏功能不全不具有剂量依赖性，停止治疗后心脏不良反应通常可逆转；帕妥珠单抗可能导致亚临床和临床心力衰竭；推荐在基线以及治疗过程中每隔3个月行超声心动图检查，评估左室射血分数（LEVF）；如果LEVF较基线下降＞15%或下降10%且低于50%，在重新评估LEVF前应暂停使用相关治疗药物4周。若LEVF处于低水平或有症状性心力衰竭证据，应终止相关药物治疗；</w:t>
            </w:r>
          </w:p>
          <w:p>
            <w:pPr>
              <w:snapToGrid w:val="0"/>
              <w:spacing w:line="360" w:lineRule="exact"/>
              <w:rPr>
                <w:rFonts w:ascii="Times New Roman" w:hAnsi="Times New Roman"/>
              </w:rPr>
            </w:pPr>
            <w:r>
              <w:rPr>
                <w:rFonts w:ascii="Times New Roman" w:hAnsi="Times New Roman"/>
              </w:rPr>
              <w:t>②间质性肺炎：对于抗HER-2治疗引起的间质性肺炎，可全身应用糖皮质激素治疗，并对相关靶向药物进行减量、暂停给药或永久停用。</w:t>
            </w:r>
          </w:p>
          <w:p>
            <w:pPr>
              <w:snapToGrid w:val="0"/>
              <w:spacing w:line="360" w:lineRule="exact"/>
              <w:rPr>
                <w:rFonts w:ascii="Times New Roman" w:hAnsi="Times New Roman"/>
              </w:rPr>
            </w:pPr>
            <w:r>
              <w:rPr>
                <w:rFonts w:ascii="Times New Roman" w:hAnsi="Times New Roman"/>
              </w:rPr>
              <w:t>③血小板减少症：注射用恩美曲妥珠单抗的治疗中，若血小板计数降低达到≥3级（＜50000/mm</w:t>
            </w:r>
            <w:r>
              <w:rPr>
                <w:rFonts w:ascii="Times New Roman" w:hAnsi="Times New Roman"/>
                <w:vertAlign w:val="superscript"/>
              </w:rPr>
              <w:t>3</w:t>
            </w:r>
            <w:r>
              <w:rPr>
                <w:rFonts w:ascii="Times New Roman" w:hAnsi="Times New Roman"/>
              </w:rPr>
              <w:t>），应暂停本品给药。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pStyle w:val="12"/>
              <w:snapToGrid w:val="0"/>
              <w:spacing w:line="360" w:lineRule="exact"/>
              <w:ind w:firstLine="0"/>
              <w:jc w:val="center"/>
              <w:rPr>
                <w:rFonts w:ascii="Times New Roman" w:hAnsi="Times New Roman" w:eastAsia="黑体"/>
                <w:kern w:val="44"/>
              </w:rPr>
            </w:pPr>
            <w:r>
              <w:rPr>
                <w:rFonts w:ascii="Times New Roman" w:hAnsi="Times New Roman" w:eastAsia="黑体"/>
                <w:kern w:val="44"/>
              </w:rPr>
              <w:t>居家期间健康管理</w:t>
            </w:r>
          </w:p>
          <w:p>
            <w:pPr>
              <w:snapToGrid w:val="0"/>
              <w:spacing w:line="360" w:lineRule="exact"/>
              <w:jc w:val="center"/>
              <w:rPr>
                <w:rFonts w:ascii="Times New Roman" w:hAnsi="Times New Roman" w:eastAsia="黑体"/>
                <w:kern w:val="44"/>
              </w:rPr>
            </w:pPr>
          </w:p>
        </w:tc>
        <w:tc>
          <w:tcPr>
            <w:tcW w:w="8469" w:type="dxa"/>
          </w:tcPr>
          <w:p>
            <w:pPr>
              <w:snapToGrid w:val="0"/>
              <w:spacing w:line="360" w:lineRule="exact"/>
              <w:rPr>
                <w:rFonts w:ascii="Times New Roman" w:hAnsi="Times New Roman"/>
              </w:rPr>
            </w:pPr>
            <w:r>
              <w:rPr>
                <w:rFonts w:ascii="Times New Roman" w:hAnsi="Times New Roman"/>
              </w:rPr>
              <w:t>①营养管理：宜参考《中国居民膳食指南2022版》合理安排饮食，保持理想体重等。</w:t>
            </w:r>
          </w:p>
          <w:p>
            <w:pPr>
              <w:snapToGrid w:val="0"/>
              <w:spacing w:line="360" w:lineRule="exact"/>
              <w:rPr>
                <w:rFonts w:ascii="Times New Roman" w:hAnsi="Times New Roman"/>
              </w:rPr>
            </w:pPr>
            <w:r>
              <w:rPr>
                <w:rFonts w:ascii="Times New Roman" w:hAnsi="Times New Roman"/>
              </w:rPr>
              <w:t>②运动管理：每日参加≥30min中等强度运动；肢体功能锻炼指导；淋巴水肿预防等。</w:t>
            </w:r>
          </w:p>
          <w:p>
            <w:pPr>
              <w:snapToGrid w:val="0"/>
              <w:spacing w:line="360" w:lineRule="exact"/>
              <w:rPr>
                <w:rFonts w:ascii="Times New Roman" w:hAnsi="Times New Roman"/>
              </w:rPr>
            </w:pPr>
            <w:r>
              <w:rPr>
                <w:rFonts w:ascii="Times New Roman" w:hAnsi="Times New Roman"/>
              </w:rPr>
              <w:t>③心理情绪管理：定期评估患者心理情绪状态，针对问题给予指导。若出现中重度焦虑、抑郁患者应该转诊精神科或使用抗焦虑抑郁的药物。</w:t>
            </w:r>
          </w:p>
          <w:p>
            <w:pPr>
              <w:snapToGrid w:val="0"/>
              <w:spacing w:line="360" w:lineRule="exact"/>
              <w:rPr>
                <w:rFonts w:ascii="Times New Roman" w:hAnsi="Times New Roman"/>
              </w:rPr>
            </w:pPr>
            <w:r>
              <w:rPr>
                <w:rFonts w:ascii="Times New Roman" w:hAnsi="Times New Roman"/>
              </w:rPr>
              <w:t>④用药管理：包括服药依从性、正确服药、药物不良反应自我报告等。</w:t>
            </w:r>
          </w:p>
          <w:p>
            <w:pPr>
              <w:snapToGrid w:val="0"/>
              <w:spacing w:line="360" w:lineRule="exact"/>
              <w:rPr>
                <w:rFonts w:ascii="Times New Roman" w:hAnsi="Times New Roman"/>
              </w:rPr>
            </w:pPr>
            <w:r>
              <w:rPr>
                <w:rFonts w:ascii="Times New Roman" w:hAnsi="Times New Roman"/>
              </w:rPr>
              <w:t>⑤身体形象管理：包括义乳的选择和佩戴、脱发处理、皮肤疤痕处理等。</w:t>
            </w:r>
          </w:p>
          <w:p>
            <w:pPr>
              <w:snapToGrid w:val="0"/>
              <w:spacing w:line="360" w:lineRule="exact"/>
              <w:rPr>
                <w:rFonts w:ascii="Times New Roman" w:hAnsi="Times New Roman"/>
              </w:rPr>
            </w:pPr>
            <w:r>
              <w:rPr>
                <w:rFonts w:ascii="Times New Roman" w:hAnsi="Times New Roman"/>
              </w:rPr>
              <w:t>⑥骨丢失和骨质疏松管理：所有接受AI、卵巢去势、化疗或绝经后的乳腺癌患者都应评估临床风险因素，并监测骨密度（BMD）。根据BMD和风险因素，给予患者个体化治疗方案。具体可参考《中国乳腺癌随诊随访与健康管理指南（2022 版）》。</w:t>
            </w:r>
          </w:p>
          <w:p>
            <w:pPr>
              <w:snapToGrid w:val="0"/>
              <w:spacing w:line="360" w:lineRule="exact"/>
              <w:rPr>
                <w:rFonts w:ascii="Times New Roman" w:hAnsi="Times New Roman"/>
              </w:rPr>
            </w:pPr>
            <w:r>
              <w:rPr>
                <w:rFonts w:ascii="Times New Roman" w:hAnsi="Times New Roman"/>
              </w:rPr>
              <w:t>⑦更年期综合征管理：控制体重和饮食可改善患者潮热症状；针灸、瑜伽和放松训练均可以在一定程度上改善乳腺癌患者的血管舒缩症状；严重时局部应用雌激素治疗。具体可参考《中国乳腺癌随诊随访与健康管理指南（2022 版）》。</w:t>
            </w:r>
          </w:p>
          <w:p>
            <w:pPr>
              <w:snapToGrid w:val="0"/>
              <w:spacing w:line="360" w:lineRule="exact"/>
              <w:rPr>
                <w:rFonts w:ascii="Times New Roman" w:hAnsi="Times New Roman"/>
              </w:rPr>
            </w:pPr>
            <w:r>
              <w:rPr>
                <w:rFonts w:ascii="Times New Roman" w:hAnsi="Times New Roman"/>
              </w:rPr>
              <w:t>⑧导管维护管理：包括引流管、PICC及输液港维护。</w:t>
            </w:r>
          </w:p>
          <w:p>
            <w:pPr>
              <w:snapToGrid w:val="0"/>
              <w:spacing w:line="360" w:lineRule="exact"/>
              <w:rPr>
                <w:rFonts w:ascii="Times New Roman" w:hAnsi="Times New Roman"/>
              </w:rPr>
            </w:pPr>
            <w:r>
              <w:rPr>
                <w:rFonts w:ascii="Times New Roman" w:hAnsi="Times New Roman"/>
              </w:rPr>
              <w:t>⑨性健康管理：性交困难应首选非激素疗法，局部应用4%利多卡因溶液、水性润滑剂、润滑油、维生素D和维生素E栓剂均是经临床研究证实有效的疗法。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pStyle w:val="12"/>
              <w:snapToGrid w:val="0"/>
              <w:spacing w:line="360" w:lineRule="exact"/>
              <w:ind w:firstLine="0"/>
              <w:jc w:val="center"/>
              <w:rPr>
                <w:rFonts w:ascii="Times New Roman" w:hAnsi="Times New Roman" w:eastAsia="黑体"/>
                <w:kern w:val="44"/>
              </w:rPr>
            </w:pPr>
            <w:r>
              <w:rPr>
                <w:rFonts w:ascii="Times New Roman" w:hAnsi="Times New Roman" w:eastAsia="黑体"/>
                <w:kern w:val="44"/>
              </w:rPr>
              <w:t>临终期</w:t>
            </w:r>
          </w:p>
          <w:p>
            <w:pPr>
              <w:snapToGrid w:val="0"/>
              <w:spacing w:line="360" w:lineRule="exact"/>
              <w:jc w:val="center"/>
              <w:rPr>
                <w:rFonts w:ascii="Times New Roman" w:hAnsi="Times New Roman" w:eastAsia="黑体"/>
                <w:kern w:val="44"/>
              </w:rPr>
            </w:pPr>
          </w:p>
        </w:tc>
        <w:tc>
          <w:tcPr>
            <w:tcW w:w="8469" w:type="dxa"/>
          </w:tcPr>
          <w:p>
            <w:pPr>
              <w:snapToGrid w:val="0"/>
              <w:spacing w:line="360" w:lineRule="exact"/>
              <w:rPr>
                <w:rFonts w:ascii="Times New Roman" w:hAnsi="Times New Roman"/>
              </w:rPr>
            </w:pPr>
            <w:r>
              <w:rPr>
                <w:rFonts w:ascii="Times New Roman" w:hAnsi="Times New Roman"/>
              </w:rPr>
              <w:t>①癌痛管理：包括疼痛的评估；三阶梯止痛治疗；按时用药等。</w:t>
            </w:r>
          </w:p>
          <w:p>
            <w:pPr>
              <w:snapToGrid w:val="0"/>
              <w:spacing w:line="360" w:lineRule="exact"/>
              <w:rPr>
                <w:rFonts w:ascii="Times New Roman" w:hAnsi="Times New Roman"/>
              </w:rPr>
            </w:pPr>
            <w:r>
              <w:rPr>
                <w:rFonts w:ascii="Times New Roman" w:hAnsi="Times New Roman"/>
              </w:rPr>
              <w:t>②症状控制：评估和观察患者常见症状包括，但不限于疼痛、呼吸困难、恶心、呕吐、腹胀、水肿、厌食/恶病质、睡眠/觉醒障碍（失眠）、谵妄等，制定控制症状的措施，给予连续的全程管理，并做好记录。</w:t>
            </w:r>
          </w:p>
          <w:p>
            <w:pPr>
              <w:snapToGrid w:val="0"/>
              <w:spacing w:line="360" w:lineRule="exact"/>
              <w:rPr>
                <w:rFonts w:ascii="Times New Roman" w:hAnsi="Times New Roman"/>
              </w:rPr>
            </w:pPr>
            <w:r>
              <w:rPr>
                <w:rFonts w:ascii="Times New Roman" w:hAnsi="Times New Roman"/>
              </w:rPr>
              <w:t>③舒适护理：及时评估和观察服务对象舒适状况，为其提供但不限于居室环境管理、床单位管理、皮肤护理、管路维护、风险防控、体位护理、排泄护理、营养支持、促进睡眠等，为其提供安全舒适的护理服务。</w:t>
            </w:r>
          </w:p>
          <w:p>
            <w:pPr>
              <w:snapToGrid w:val="0"/>
              <w:spacing w:line="360" w:lineRule="exact"/>
              <w:rPr>
                <w:rFonts w:ascii="Times New Roman" w:hAnsi="Times New Roman"/>
              </w:rPr>
            </w:pPr>
            <w:r>
              <w:rPr>
                <w:rFonts w:ascii="Times New Roman" w:hAnsi="Times New Roman"/>
              </w:rPr>
              <w:t>④维护尊严：</w:t>
            </w:r>
            <w:r>
              <w:rPr>
                <w:rFonts w:hint="eastAsia" w:ascii="Times New Roman" w:hAnsi="Times New Roman"/>
              </w:rPr>
              <w:t>宜提供尊严疗法，</w:t>
            </w:r>
            <w:r>
              <w:rPr>
                <w:rFonts w:ascii="Times New Roman" w:hAnsi="Times New Roman"/>
              </w:rPr>
              <w:t>尊重其人身权利，保护个人隐私和人格尊严。</w:t>
            </w:r>
          </w:p>
          <w:p>
            <w:pPr>
              <w:snapToGrid w:val="0"/>
              <w:spacing w:line="360" w:lineRule="exact"/>
              <w:rPr>
                <w:rFonts w:ascii="Times New Roman" w:hAnsi="Times New Roman"/>
              </w:rPr>
            </w:pPr>
            <w:r>
              <w:rPr>
                <w:rFonts w:ascii="Times New Roman" w:hAnsi="Times New Roman"/>
              </w:rPr>
              <w:t xml:space="preserve">⑤患者及家属心理和情绪支持 </w:t>
            </w:r>
          </w:p>
        </w:tc>
      </w:tr>
    </w:tbl>
    <w:p>
      <w:pPr>
        <w:pStyle w:val="56"/>
        <w:ind w:firstLine="42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bookmarkEnd w:id="77"/>
    <w:p>
      <w:pPr>
        <w:pStyle w:val="63"/>
        <w:spacing w:before="124" w:after="156"/>
      </w:pPr>
      <w:bookmarkStart w:id="85" w:name="_Toc170288789"/>
      <w:bookmarkStart w:id="86" w:name="BookMark6"/>
      <w:r>
        <w:rPr>
          <w:rFonts w:hint="eastAsia"/>
          <w:spacing w:val="105"/>
        </w:rPr>
        <w:t>参考文</w:t>
      </w:r>
      <w:r>
        <w:rPr>
          <w:rFonts w:hint="eastAsia"/>
        </w:rPr>
        <w:t>献</w:t>
      </w:r>
      <w:bookmarkEnd w:id="85"/>
    </w:p>
    <w:p>
      <w:pPr>
        <w:numPr>
          <w:ilvl w:val="0"/>
          <w:numId w:val="36"/>
        </w:numPr>
        <w:snapToGrid w:val="0"/>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马飞,徐兵河,邵志敏. 乳腺癌随访及伴随疾病全方位管理指南[J]. 中华肿瘤杂志,2019,41(1):29-41.</w:t>
      </w:r>
    </w:p>
    <w:p>
      <w:pPr>
        <w:numPr>
          <w:ilvl w:val="0"/>
          <w:numId w:val="36"/>
        </w:numPr>
        <w:snapToGrid w:val="0"/>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国家肿瘤质控中心乳腺癌专家委员会,北京乳腺病防治学会健康管理专业委员会. 中国乳腺癌随诊随访与健康管理指南(2022版)[J]. 中华肿瘤杂志,2022,44(1):1-28.</w:t>
      </w:r>
    </w:p>
    <w:p>
      <w:pPr>
        <w:numPr>
          <w:ilvl w:val="0"/>
          <w:numId w:val="36"/>
        </w:numPr>
        <w:snapToGrid w:val="0"/>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中国抗癌协会乳腺癌专业委员会. 中国抗癌协会乳腺癌诊治指南与规范(2021年版)[J]. 中国癌症杂志,2021,31(10):954-1040. </w:t>
      </w:r>
    </w:p>
    <w:p>
      <w:pPr>
        <w:numPr>
          <w:ilvl w:val="0"/>
          <w:numId w:val="36"/>
        </w:numPr>
        <w:snapToGrid w:val="0"/>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中国抗癌协会乳腺癌专业委员会,中华医学会肿瘤学分会乳腺肿瘤学组,邵志敏. 中国抗癌协会乳腺癌诊治指南与规范(2024年版)[J]. 中国癌症杂志,2023,33(12):1092-1186.</w:t>
      </w:r>
    </w:p>
    <w:p>
      <w:pPr>
        <w:numPr>
          <w:ilvl w:val="0"/>
          <w:numId w:val="36"/>
        </w:numPr>
        <w:snapToGrid w:val="0"/>
        <w:spacing w:line="360" w:lineRule="auto"/>
        <w:jc w:val="left"/>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沈松杰,孙强,黄欣,等. 中国女性乳腺癌筛查指南（2022年版） [J]. 中国研究型医院, 2022, 9 (02): 6-13. </w:t>
      </w:r>
    </w:p>
    <w:p>
      <w:pPr>
        <w:numPr>
          <w:ilvl w:val="0"/>
          <w:numId w:val="36"/>
        </w:numPr>
        <w:snapToGrid w:val="0"/>
        <w:spacing w:line="360" w:lineRule="auto"/>
        <w:jc w:val="left"/>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中华预防医学会妇女保健分会乳腺学组. 中国乳腺癌患者生活方式指南[J]. 中华外科杂志,2017,</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55(2):81-85.</w:t>
      </w:r>
    </w:p>
    <w:p>
      <w:pPr>
        <w:numPr>
          <w:ilvl w:val="0"/>
          <w:numId w:val="36"/>
        </w:numPr>
        <w:snapToGrid w:val="0"/>
        <w:spacing w:line="360" w:lineRule="auto"/>
        <w:jc w:val="left"/>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中华医学会整形外科学分会淋巴水肿治疗学组. 乳腺癌术后上肢淋巴水肿诊治指南与规范(2021年版)[J]. 组织工程与重建外科杂志,2021,17(6):457-461.</w:t>
      </w:r>
    </w:p>
    <w:p>
      <w:pPr>
        <w:numPr>
          <w:ilvl w:val="0"/>
          <w:numId w:val="36"/>
        </w:numPr>
        <w:snapToGrid w:val="0"/>
        <w:spacing w:line="360" w:lineRule="auto"/>
        <w:jc w:val="left"/>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Senkus E, Kyriakides S, Ohno S, et al. Primary breast cancer:ESMO Clinical Practice Guidelines for diagnosis, treatment and</w:t>
      </w:r>
      <w:r>
        <w:rPr>
          <w:rFonts w:hint="eastAsia" w:ascii="Times New Roman" w:hAnsi="Times New Roman"/>
          <w:color w:val="000000" w:themeColor="text1"/>
          <w14:textFill>
            <w14:solidFill>
              <w14:schemeClr w14:val="tx1"/>
            </w14:solidFill>
          </w14:textFill>
        </w:rPr>
        <w:t xml:space="preserve"> f</w:t>
      </w:r>
      <w:r>
        <w:rPr>
          <w:rFonts w:ascii="Times New Roman" w:hAnsi="Times New Roman"/>
          <w:color w:val="000000" w:themeColor="text1"/>
          <w14:textFill>
            <w14:solidFill>
              <w14:schemeClr w14:val="tx1"/>
            </w14:solidFill>
          </w14:textFill>
        </w:rPr>
        <w:t>ollow-up</w:t>
      </w:r>
      <w:r>
        <w:rPr>
          <w:rFonts w:hint="eastAsia" w:ascii="Times New Roman" w:hAnsi="Times New Roman"/>
          <w:color w:val="000000" w:themeColor="text1"/>
          <w14:textFill>
            <w14:solidFill>
              <w14:schemeClr w14:val="tx1"/>
            </w14:solidFill>
          </w14:textFill>
        </w:rPr>
        <w:t>[J]</w:t>
      </w:r>
      <w:r>
        <w:rPr>
          <w:rFonts w:ascii="Times New Roman" w:hAnsi="Times New Roman"/>
          <w:color w:val="000000" w:themeColor="text1"/>
          <w14:textFill>
            <w14:solidFill>
              <w14:schemeClr w14:val="tx1"/>
            </w14:solidFill>
          </w14:textFill>
        </w:rPr>
        <w:t>. Ann Oncol,2015,26 (suppl 5):v8-30.</w:t>
      </w:r>
    </w:p>
    <w:p>
      <w:pPr>
        <w:numPr>
          <w:ilvl w:val="0"/>
          <w:numId w:val="36"/>
        </w:numPr>
        <w:snapToGrid w:val="0"/>
        <w:spacing w:line="360" w:lineRule="auto"/>
        <w:jc w:val="left"/>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Gradishar WJ, Moran MS, Abraham J, </w:t>
      </w:r>
      <w:r>
        <w:rPr>
          <w:rFonts w:hint="eastAsia" w:ascii="Times New Roman" w:hAnsi="Times New Roman"/>
          <w:color w:val="000000" w:themeColor="text1"/>
          <w14:textFill>
            <w14:solidFill>
              <w14:schemeClr w14:val="tx1"/>
            </w14:solidFill>
          </w14:textFill>
        </w:rPr>
        <w:t>et al</w:t>
      </w:r>
      <w:r>
        <w:rPr>
          <w:rFonts w:ascii="Times New Roman" w:hAnsi="Times New Roman"/>
          <w:color w:val="000000" w:themeColor="text1"/>
          <w14:textFill>
            <w14:solidFill>
              <w14:schemeClr w14:val="tx1"/>
            </w14:solidFill>
          </w14:textFill>
        </w:rPr>
        <w:t>. Breast Cancer, Version 3.2022, NCCN Clinical Practice Guidelines in Oncology</w:t>
      </w:r>
      <w:r>
        <w:rPr>
          <w:rFonts w:hint="eastAsia" w:ascii="Times New Roman" w:hAnsi="Times New Roman"/>
          <w:color w:val="000000" w:themeColor="text1"/>
          <w14:textFill>
            <w14:solidFill>
              <w14:schemeClr w14:val="tx1"/>
            </w14:solidFill>
          </w14:textFill>
        </w:rPr>
        <w:t>[J]</w:t>
      </w:r>
      <w:r>
        <w:rPr>
          <w:rFonts w:ascii="Times New Roman" w:hAnsi="Times New Roman"/>
          <w:color w:val="000000" w:themeColor="text1"/>
          <w14:textFill>
            <w14:solidFill>
              <w14:schemeClr w14:val="tx1"/>
            </w14:solidFill>
          </w14:textFill>
        </w:rPr>
        <w:t>. J Natl Compr Canc Netw</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 xml:space="preserve"> 2022</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20(6):691-722.</w:t>
      </w:r>
    </w:p>
    <w:p>
      <w:pPr>
        <w:numPr>
          <w:ilvl w:val="0"/>
          <w:numId w:val="36"/>
        </w:numPr>
        <w:snapToGrid w:val="0"/>
        <w:spacing w:line="360" w:lineRule="auto"/>
        <w:jc w:val="left"/>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Gradishar WJ, Moran MS, Abraham J,</w:t>
      </w:r>
      <w:r>
        <w:rPr>
          <w:rFonts w:hint="eastAsia" w:ascii="Times New Roman" w:hAnsi="Times New Roman"/>
          <w:color w:val="000000" w:themeColor="text1"/>
          <w14:textFill>
            <w14:solidFill>
              <w14:schemeClr w14:val="tx1"/>
            </w14:solidFill>
          </w14:textFill>
        </w:rPr>
        <w:t>et al</w:t>
      </w:r>
      <w:r>
        <w:rPr>
          <w:rFonts w:ascii="Times New Roman" w:hAnsi="Times New Roman"/>
          <w:color w:val="000000" w:themeColor="text1"/>
          <w14:textFill>
            <w14:solidFill>
              <w14:schemeClr w14:val="tx1"/>
            </w14:solidFill>
          </w14:textFill>
        </w:rPr>
        <w:t>. NCCN Guidelines® Insights: Breast Cancer, Version 4.2023</w:t>
      </w:r>
      <w:r>
        <w:rPr>
          <w:rFonts w:hint="eastAsia" w:ascii="Times New Roman" w:hAnsi="Times New Roman"/>
          <w:color w:val="000000" w:themeColor="text1"/>
          <w14:textFill>
            <w14:solidFill>
              <w14:schemeClr w14:val="tx1"/>
            </w14:solidFill>
          </w14:textFill>
        </w:rPr>
        <w:t>[J]</w:t>
      </w:r>
      <w:r>
        <w:rPr>
          <w:rFonts w:ascii="Times New Roman" w:hAnsi="Times New Roman"/>
          <w:color w:val="000000" w:themeColor="text1"/>
          <w14:textFill>
            <w14:solidFill>
              <w14:schemeClr w14:val="tx1"/>
            </w14:solidFill>
          </w14:textFill>
        </w:rPr>
        <w:t>. J Natl Compr Canc Netw</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2023</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21(6):594-608.</w:t>
      </w:r>
    </w:p>
    <w:p>
      <w:pPr>
        <w:numPr>
          <w:ilvl w:val="0"/>
          <w:numId w:val="36"/>
        </w:numPr>
        <w:snapToGrid w:val="0"/>
        <w:spacing w:line="360" w:lineRule="auto"/>
        <w:jc w:val="left"/>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 xml:space="preserve">Runowicz CD, Leach CR, Henry NL, </w:t>
      </w:r>
      <w:r>
        <w:rPr>
          <w:rFonts w:hint="eastAsia" w:ascii="Times New Roman" w:hAnsi="Times New Roman"/>
          <w:color w:val="000000" w:themeColor="text1"/>
          <w14:textFill>
            <w14:solidFill>
              <w14:schemeClr w14:val="tx1"/>
            </w14:solidFill>
          </w14:textFill>
        </w:rPr>
        <w:t>et al</w:t>
      </w:r>
      <w:r>
        <w:rPr>
          <w:rFonts w:ascii="Times New Roman" w:hAnsi="Times New Roman"/>
          <w:color w:val="000000" w:themeColor="text1"/>
          <w14:textFill>
            <w14:solidFill>
              <w14:schemeClr w14:val="tx1"/>
            </w14:solidFill>
          </w14:textFill>
        </w:rPr>
        <w:t>. American Cancer Society/American Society of Clinical Oncology Breast Cancer Survivorship Care Guideline</w:t>
      </w:r>
      <w:r>
        <w:rPr>
          <w:rFonts w:hint="eastAsia" w:ascii="Times New Roman" w:hAnsi="Times New Roman"/>
          <w:color w:val="000000" w:themeColor="text1"/>
          <w14:textFill>
            <w14:solidFill>
              <w14:schemeClr w14:val="tx1"/>
            </w14:solidFill>
          </w14:textFill>
        </w:rPr>
        <w:t>[J]</w:t>
      </w:r>
      <w:r>
        <w:rPr>
          <w:rFonts w:ascii="Times New Roman" w:hAnsi="Times New Roman"/>
          <w:color w:val="000000" w:themeColor="text1"/>
          <w14:textFill>
            <w14:solidFill>
              <w14:schemeClr w14:val="tx1"/>
            </w14:solidFill>
          </w14:textFill>
        </w:rPr>
        <w:t>. CA Cancer J Clin. 2016</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 xml:space="preserve">66(1):43-73. </w:t>
      </w:r>
    </w:p>
    <w:p>
      <w:pPr>
        <w:numPr>
          <w:ilvl w:val="0"/>
          <w:numId w:val="36"/>
        </w:numPr>
        <w:snapToGrid w:val="0"/>
        <w:spacing w:line="360" w:lineRule="auto"/>
        <w:jc w:val="left"/>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 Ruddy KJ, Herrin J, Sangaralingham L, et al. Follow-up Care for Breast Cancer Survivors[J]. J Natl Cancer Inst. 2020,112(1):111-113.</w:t>
      </w:r>
    </w:p>
    <w:p>
      <w:pPr>
        <w:pStyle w:val="56"/>
        <w:ind w:firstLine="420"/>
      </w:pPr>
    </w:p>
    <w:p>
      <w:pPr>
        <w:pStyle w:val="56"/>
        <w:ind w:firstLine="420"/>
      </w:pPr>
    </w:p>
    <w:p>
      <w:pPr>
        <w:pStyle w:val="56"/>
        <w:ind w:firstLine="420"/>
      </w:pPr>
    </w:p>
    <w:p>
      <w:pPr>
        <w:tabs>
          <w:tab w:val="left" w:pos="312"/>
        </w:tabs>
        <w:snapToGrid w:val="0"/>
        <w:spacing w:line="360" w:lineRule="auto"/>
        <w:jc w:val="left"/>
        <w:rPr>
          <w:rFonts w:ascii="Times New Roman" w:hAnsi="Times New Roman"/>
          <w:color w:val="000000" w:themeColor="text1"/>
          <w14:textFill>
            <w14:solidFill>
              <w14:schemeClr w14:val="tx1"/>
            </w14:solidFill>
          </w14:textFill>
        </w:rPr>
      </w:pPr>
    </w:p>
    <w:bookmarkEnd w:id="86"/>
    <w:p>
      <w:pPr>
        <w:tabs>
          <w:tab w:val="left" w:pos="312"/>
        </w:tabs>
        <w:snapToGrid w:val="0"/>
        <w:spacing w:line="360" w:lineRule="auto"/>
        <w:jc w:val="left"/>
        <w:rPr>
          <w:rFonts w:ascii="Times New Roman" w:hAnsi="Times New Roman"/>
          <w:color w:val="000000" w:themeColor="text1"/>
          <w14:textFill>
            <w14:solidFill>
              <w14:schemeClr w14:val="tx1"/>
            </w14:solidFill>
          </w14:textFill>
        </w:rPr>
      </w:pPr>
    </w:p>
    <w:p>
      <w:pPr>
        <w:tabs>
          <w:tab w:val="left" w:pos="312"/>
        </w:tabs>
        <w:snapToGrid w:val="0"/>
        <w:spacing w:line="360" w:lineRule="auto"/>
        <w:jc w:val="center"/>
        <w:rPr>
          <w:rFonts w:ascii="Times New Roman" w:hAnsi="Times New Roman"/>
          <w:color w:val="000000" w:themeColor="text1"/>
          <w14:textFill>
            <w14:solidFill>
              <w14:schemeClr w14:val="tx1"/>
            </w14:solidFill>
          </w14:textFill>
        </w:rPr>
      </w:pPr>
      <w:bookmarkStart w:id="87" w:name="BookMark8"/>
      <w:r>
        <w:rPr>
          <w:rFonts w:hint="eastAsia" w:ascii="Times New Roman" w:hAnsi="Times New Roman"/>
          <w:color w:val="000000" w:themeColor="text1"/>
          <w14:textFill>
            <w14:solidFill>
              <w14:schemeClr w14:val="tx1"/>
            </w14:solidFill>
          </w14:textFill>
        </w:rPr>
        <w:drawing>
          <wp:inline distT="0" distB="0" distL="0" distR="0">
            <wp:extent cx="1485900" cy="317500"/>
            <wp:effectExtent l="0" t="0" r="0" b="6350"/>
            <wp:docPr id="848953458" name="图片 3"/>
            <wp:cNvGraphicFramePr/>
            <a:graphic xmlns:a="http://schemas.openxmlformats.org/drawingml/2006/main">
              <a:graphicData uri="http://schemas.openxmlformats.org/drawingml/2006/picture">
                <pic:pic xmlns:pic="http://schemas.openxmlformats.org/drawingml/2006/picture">
                  <pic:nvPicPr>
                    <pic:cNvPr id="848953458"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7"/>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4FFB9F"/>
    <w:multiLevelType w:val="singleLevel"/>
    <w:tmpl w:val="AA4FFB9F"/>
    <w:lvl w:ilvl="0" w:tentative="0">
      <w:start w:val="1"/>
      <w:numFmt w:val="decimal"/>
      <w:lvlText w:val="[%1]"/>
      <w:lvlJc w:val="left"/>
      <w:pPr>
        <w:tabs>
          <w:tab w:val="left" w:pos="312"/>
        </w:tabs>
      </w:pPr>
    </w:lvl>
  </w:abstractNum>
  <w:abstractNum w:abstractNumId="1">
    <w:nsid w:val="EB4D7194"/>
    <w:multiLevelType w:val="singleLevel"/>
    <w:tmpl w:val="EB4D7194"/>
    <w:lvl w:ilvl="0" w:tentative="0">
      <w:start w:val="1"/>
      <w:numFmt w:val="decimal"/>
      <w:suff w:val="space"/>
      <w:lvlText w:val="%1."/>
      <w:lvlJc w:val="left"/>
    </w:lvl>
  </w:abstractNum>
  <w:abstractNum w:abstractNumId="2">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4111" w:firstLine="0"/>
      </w:pPr>
      <w:rPr>
        <w:rFonts w:hint="eastAsia"/>
        <w:spacing w:val="100"/>
        <w:lang w:val="en-US"/>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29"/>
  </w:num>
  <w:num w:numId="3">
    <w:abstractNumId w:val="7"/>
  </w:num>
  <w:num w:numId="4">
    <w:abstractNumId w:val="25"/>
  </w:num>
  <w:num w:numId="5">
    <w:abstractNumId w:val="20"/>
  </w:num>
  <w:num w:numId="6">
    <w:abstractNumId w:val="15"/>
  </w:num>
  <w:num w:numId="7">
    <w:abstractNumId w:val="10"/>
  </w:num>
  <w:num w:numId="8">
    <w:abstractNumId w:val="5"/>
  </w:num>
  <w:num w:numId="9">
    <w:abstractNumId w:val="11"/>
  </w:num>
  <w:num w:numId="10">
    <w:abstractNumId w:val="18"/>
  </w:num>
  <w:num w:numId="11">
    <w:abstractNumId w:val="27"/>
  </w:num>
  <w:num w:numId="12">
    <w:abstractNumId w:val="13"/>
  </w:num>
  <w:num w:numId="13">
    <w:abstractNumId w:val="14"/>
  </w:num>
  <w:num w:numId="14">
    <w:abstractNumId w:val="9"/>
  </w:num>
  <w:num w:numId="15">
    <w:abstractNumId w:val="21"/>
  </w:num>
  <w:num w:numId="16">
    <w:abstractNumId w:val="23"/>
  </w:num>
  <w:num w:numId="17">
    <w:abstractNumId w:val="19"/>
  </w:num>
  <w:num w:numId="18">
    <w:abstractNumId w:val="31"/>
  </w:num>
  <w:num w:numId="19">
    <w:abstractNumId w:val="17"/>
  </w:num>
  <w:num w:numId="20">
    <w:abstractNumId w:val="3"/>
  </w:num>
  <w:num w:numId="21">
    <w:abstractNumId w:val="12"/>
  </w:num>
  <w:num w:numId="22">
    <w:abstractNumId w:val="32"/>
  </w:num>
  <w:num w:numId="23">
    <w:abstractNumId w:val="22"/>
  </w:num>
  <w:num w:numId="24">
    <w:abstractNumId w:val="8"/>
  </w:num>
  <w:num w:numId="25">
    <w:abstractNumId w:val="28"/>
  </w:num>
  <w:num w:numId="26">
    <w:abstractNumId w:val="30"/>
  </w:num>
  <w:num w:numId="27">
    <w:abstractNumId w:val="4"/>
  </w:num>
  <w:num w:numId="28">
    <w:abstractNumId w:val="6"/>
  </w:num>
  <w:num w:numId="29">
    <w:abstractNumId w:val="16"/>
  </w:num>
  <w:num w:numId="30">
    <w:abstractNumId w:val="26"/>
  </w:num>
  <w:num w:numId="31">
    <w:abstractNumId w:val="2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doNotDisplayPageBoundaries w:val="1"/>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hYjRhYjRlZDU0ZTJmOTE3OTNmYjhmYWFmNGEzZDUifQ=="/>
  </w:docVars>
  <w:rsids>
    <w:rsidRoot w:val="00E42314"/>
    <w:rsid w:val="0000040A"/>
    <w:rsid w:val="00000A94"/>
    <w:rsid w:val="00001972"/>
    <w:rsid w:val="00001D9A"/>
    <w:rsid w:val="00007B3A"/>
    <w:rsid w:val="000107E0"/>
    <w:rsid w:val="00011127"/>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2749"/>
    <w:rsid w:val="000539DD"/>
    <w:rsid w:val="00053BD3"/>
    <w:rsid w:val="000556ED"/>
    <w:rsid w:val="00055FE2"/>
    <w:rsid w:val="0005616F"/>
    <w:rsid w:val="00060C2E"/>
    <w:rsid w:val="00061033"/>
    <w:rsid w:val="000619E9"/>
    <w:rsid w:val="000622D4"/>
    <w:rsid w:val="0006357D"/>
    <w:rsid w:val="0006701E"/>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0F7564"/>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00A8"/>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9C1"/>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0185"/>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418C"/>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66C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44B"/>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1F2B"/>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20E"/>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5DB"/>
    <w:rsid w:val="006E225B"/>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53A4"/>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56F1"/>
    <w:rsid w:val="00810257"/>
    <w:rsid w:val="008104F5"/>
    <w:rsid w:val="008108D3"/>
    <w:rsid w:val="00811072"/>
    <w:rsid w:val="00811369"/>
    <w:rsid w:val="00812CF2"/>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11F6"/>
    <w:rsid w:val="00883F93"/>
    <w:rsid w:val="00884DB3"/>
    <w:rsid w:val="00885A9D"/>
    <w:rsid w:val="008864F6"/>
    <w:rsid w:val="00886FAE"/>
    <w:rsid w:val="0089049D"/>
    <w:rsid w:val="008928C9"/>
    <w:rsid w:val="008930CB"/>
    <w:rsid w:val="008938DC"/>
    <w:rsid w:val="00893FD1"/>
    <w:rsid w:val="00894836"/>
    <w:rsid w:val="00895172"/>
    <w:rsid w:val="00895680"/>
    <w:rsid w:val="00896DFF"/>
    <w:rsid w:val="0089762C"/>
    <w:rsid w:val="008A1893"/>
    <w:rsid w:val="008A3215"/>
    <w:rsid w:val="008A5780"/>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7AF5"/>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307"/>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4A0F"/>
    <w:rsid w:val="00A0096C"/>
    <w:rsid w:val="00A01757"/>
    <w:rsid w:val="00A028C0"/>
    <w:rsid w:val="00A02BAE"/>
    <w:rsid w:val="00A06A6B"/>
    <w:rsid w:val="00A07E47"/>
    <w:rsid w:val="00A117A8"/>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287B"/>
    <w:rsid w:val="00AB339F"/>
    <w:rsid w:val="00AB41D5"/>
    <w:rsid w:val="00AB6309"/>
    <w:rsid w:val="00AB6C5F"/>
    <w:rsid w:val="00AB7129"/>
    <w:rsid w:val="00AC27A6"/>
    <w:rsid w:val="00AC30F7"/>
    <w:rsid w:val="00AC3A5A"/>
    <w:rsid w:val="00AC4D95"/>
    <w:rsid w:val="00AC5DF4"/>
    <w:rsid w:val="00AD0AEF"/>
    <w:rsid w:val="00AD11B7"/>
    <w:rsid w:val="00AD1A94"/>
    <w:rsid w:val="00AD1C05"/>
    <w:rsid w:val="00AD242E"/>
    <w:rsid w:val="00AD4126"/>
    <w:rsid w:val="00AD421C"/>
    <w:rsid w:val="00AD44FA"/>
    <w:rsid w:val="00AE070A"/>
    <w:rsid w:val="00AE101C"/>
    <w:rsid w:val="00AE37E5"/>
    <w:rsid w:val="00AE5EB4"/>
    <w:rsid w:val="00AE6CC5"/>
    <w:rsid w:val="00AF0C18"/>
    <w:rsid w:val="00AF47C5"/>
    <w:rsid w:val="00AF5398"/>
    <w:rsid w:val="00B049AF"/>
    <w:rsid w:val="00B07242"/>
    <w:rsid w:val="00B10534"/>
    <w:rsid w:val="00B113DB"/>
    <w:rsid w:val="00B11D8A"/>
    <w:rsid w:val="00B12981"/>
    <w:rsid w:val="00B14190"/>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564"/>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4D0"/>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0F81"/>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1B66"/>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6F98"/>
    <w:rsid w:val="00D926D0"/>
    <w:rsid w:val="00D92C7D"/>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2314"/>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967"/>
    <w:rsid w:val="00E74C54"/>
    <w:rsid w:val="00E77A03"/>
    <w:rsid w:val="00E822E8"/>
    <w:rsid w:val="00E82554"/>
    <w:rsid w:val="00E82606"/>
    <w:rsid w:val="00E846C8"/>
    <w:rsid w:val="00E84957"/>
    <w:rsid w:val="00E84A55"/>
    <w:rsid w:val="00E855E2"/>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282D"/>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79A1"/>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AB71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99" w:semiHidden="0" w:name="Normal Indent"/>
    <w:lsdException w:qFormat="1" w:unhideWhenUsed="0" w:uiPriority="0"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99"/>
    <w:pPr>
      <w:ind w:firstLine="420"/>
    </w:pPr>
  </w:style>
  <w:style w:type="paragraph" w:styleId="13">
    <w:name w:val="Body Text"/>
    <w:basedOn w:val="1"/>
    <w:link w:val="86"/>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9"/>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4.jpeg"/><Relationship Id="rId2" Type="http://schemas.openxmlformats.org/officeDocument/2006/relationships/settings" Target="settings.xml"/><Relationship Id="rId19" Type="http://schemas.openxmlformats.org/officeDocument/2006/relationships/image" Target="media/image3.emf"/><Relationship Id="rId18" Type="http://schemas.openxmlformats.org/officeDocument/2006/relationships/oleObject" Target="embeddings/oleObject2.bin"/><Relationship Id="rId17" Type="http://schemas.openxmlformats.org/officeDocument/2006/relationships/image" Target="media/image2.emf"/><Relationship Id="rId16" Type="http://schemas.openxmlformats.org/officeDocument/2006/relationships/oleObject" Target="embeddings/oleObject1.bin"/><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93B7F438FF4480DA626914FF467FA41"/>
        <w:style w:val=""/>
        <w:category>
          <w:name w:val="常规"/>
          <w:gallery w:val="placeholder"/>
        </w:category>
        <w:types>
          <w:type w:val="bbPlcHdr"/>
        </w:types>
        <w:behaviors>
          <w:behavior w:val="content"/>
        </w:behaviors>
        <w:description w:val=""/>
        <w:guid w:val="{32BDF776-D8AE-458C-8326-3743EE96C190}"/>
      </w:docPartPr>
      <w:docPartBody>
        <w:p>
          <w:pPr>
            <w:pStyle w:val="5"/>
          </w:pPr>
          <w:r>
            <w:rPr>
              <w:rStyle w:val="4"/>
              <w:rFonts w:hint="eastAsia"/>
            </w:rPr>
            <w:t>单击或点击此处输入文字。</w:t>
          </w:r>
        </w:p>
      </w:docPartBody>
    </w:docPart>
    <w:docPart>
      <w:docPartPr>
        <w:name w:val="302C3E015CDD439C87141ADCF95D3304"/>
        <w:style w:val=""/>
        <w:category>
          <w:name w:val="常规"/>
          <w:gallery w:val="placeholder"/>
        </w:category>
        <w:types>
          <w:type w:val="bbPlcHdr"/>
        </w:types>
        <w:behaviors>
          <w:behavior w:val="content"/>
        </w:behaviors>
        <w:description w:val=""/>
        <w:guid w:val="{46D6E688-77E3-4403-A53A-04C51B9039D9}"/>
      </w:docPartPr>
      <w:docPartBody>
        <w:p>
          <w:pPr>
            <w:pStyle w:val="6"/>
          </w:pPr>
          <w:r>
            <w:rPr>
              <w:rStyle w:val="4"/>
              <w:rFonts w:hint="eastAsia"/>
            </w:rPr>
            <w:t>选择一项。</w:t>
          </w:r>
        </w:p>
      </w:docPartBody>
    </w:docPart>
    <w:docPart>
      <w:docPartPr>
        <w:name w:val="A5DCB417C99D4074AF93AC1DB1654C5B"/>
        <w:style w:val=""/>
        <w:category>
          <w:name w:val="常规"/>
          <w:gallery w:val="placeholder"/>
        </w:category>
        <w:types>
          <w:type w:val="bbPlcHdr"/>
        </w:types>
        <w:behaviors>
          <w:behavior w:val="content"/>
        </w:behaviors>
        <w:description w:val=""/>
        <w:guid w:val="{80E09D97-AA07-4E46-AD5A-BB698E50AD9D}"/>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0A5"/>
    <w:rsid w:val="002A20A5"/>
    <w:rsid w:val="00303D11"/>
    <w:rsid w:val="003A5EDC"/>
    <w:rsid w:val="004868F2"/>
    <w:rsid w:val="004F3075"/>
    <w:rsid w:val="0061488A"/>
    <w:rsid w:val="00706100"/>
    <w:rsid w:val="00943C63"/>
    <w:rsid w:val="00D92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293B7F438FF4480DA626914FF467FA4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02C3E015CDD439C87141ADCF95D330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5DCB417C99D4074AF93AC1DB1654C5B"/>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4590F1-5EBB-45A9-97EB-C8C770CAFD3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20</Pages>
  <Words>9555</Words>
  <Characters>10754</Characters>
  <Lines>95</Lines>
  <Paragraphs>26</Paragraphs>
  <TotalTime>0</TotalTime>
  <ScaleCrop>false</ScaleCrop>
  <LinksUpToDate>false</LinksUpToDate>
  <CharactersWithSpaces>11121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2024-06-25T00:19:00Z</dcterms:created>
  <dc:creator>微软用户</dc:creator>
  <dc:description>&lt;config cover="true" show_menu="true" version="1.0.0" doctype="SDKXY"&gt;_x000d_
&lt;/config&gt;</dc:description>
  <cp:lastModifiedBy>zhj</cp:lastModifiedBy>
  <cp:lastPrinted>2020-08-30T10:00:00Z</cp:lastPrinted>
  <dcterms:modified xsi:type="dcterms:W3CDTF">2024-07-02T07:55:26Z</dcterms:modified>
  <dc:title>地方标准</dc:title>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6C1A81D9D71D484F80B769FE00099200_12</vt:lpwstr>
  </property>
</Properties>
</file>